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149B">
      <w:pPr>
        <w:pStyle w:val="3"/>
        <w:rPr>
          <w:rFonts w:ascii="宋体" w:hAnsi="宋体" w:cs="宋体"/>
          <w:color w:val="000000"/>
          <w:highlight w:val="none"/>
        </w:rPr>
      </w:pPr>
      <w:bookmarkStart w:id="0" w:name="_Toc15203"/>
      <w:bookmarkStart w:id="1" w:name="_Toc955"/>
      <w:bookmarkStart w:id="2" w:name="_Toc18076"/>
      <w:r>
        <w:rPr>
          <w:rFonts w:hint="eastAsia" w:ascii="宋体" w:hAnsi="宋体" w:cs="宋体"/>
          <w:color w:val="000000"/>
          <w:highlight w:val="none"/>
        </w:rPr>
        <w:t>第三章</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w:t>
      </w:r>
      <w:r>
        <w:rPr>
          <w:rFonts w:hint="eastAsia" w:ascii="宋体" w:hAnsi="宋体" w:cs="宋体"/>
          <w:color w:val="000000"/>
          <w:highlight w:val="none"/>
          <w:lang w:val="en-US" w:eastAsia="zh-CN"/>
        </w:rPr>
        <w:t xml:space="preserve"> 货物</w:t>
      </w:r>
      <w:r>
        <w:rPr>
          <w:rFonts w:hint="eastAsia" w:ascii="宋体" w:hAnsi="宋体" w:cs="宋体"/>
          <w:color w:val="000000"/>
          <w:highlight w:val="none"/>
        </w:rPr>
        <w:t>需求及</w:t>
      </w:r>
      <w:r>
        <w:rPr>
          <w:rFonts w:hint="eastAsia" w:ascii="宋体" w:hAnsi="宋体" w:cs="宋体"/>
          <w:color w:val="000000"/>
          <w:highlight w:val="none"/>
          <w:lang w:val="en-US" w:eastAsia="zh-CN"/>
        </w:rPr>
        <w:t>技术</w:t>
      </w:r>
      <w:r>
        <w:rPr>
          <w:rFonts w:hint="eastAsia" w:ascii="宋体" w:hAnsi="宋体" w:cs="宋体"/>
          <w:color w:val="000000"/>
          <w:highlight w:val="none"/>
        </w:rPr>
        <w:t>要求</w:t>
      </w:r>
      <w:bookmarkEnd w:id="0"/>
      <w:bookmarkEnd w:id="1"/>
      <w:bookmarkEnd w:id="2"/>
    </w:p>
    <w:p w14:paraId="37A14BA7">
      <w:pPr>
        <w:ind w:firstLine="482" w:firstLineChars="200"/>
        <w:rPr>
          <w:rFonts w:ascii="宋体" w:hAnsi="宋体"/>
          <w:b/>
          <w:bCs/>
          <w:color w:val="auto"/>
          <w:sz w:val="24"/>
          <w:szCs w:val="24"/>
          <w:highlight w:val="none"/>
        </w:rPr>
      </w:pPr>
      <w:bookmarkStart w:id="3" w:name="_Toc7241"/>
      <w:bookmarkStart w:id="4" w:name="_Toc20302"/>
      <w:r>
        <w:rPr>
          <w:rFonts w:hint="eastAsia" w:ascii="宋体" w:hAnsi="宋体"/>
          <w:b/>
          <w:bCs/>
          <w:color w:val="auto"/>
          <w:sz w:val="24"/>
          <w:szCs w:val="24"/>
          <w:highlight w:val="none"/>
        </w:rPr>
        <w:t>一、商务要求：</w:t>
      </w:r>
    </w:p>
    <w:tbl>
      <w:tblPr>
        <w:tblStyle w:val="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77"/>
        <w:gridCol w:w="5658"/>
      </w:tblGrid>
      <w:tr w14:paraId="1F4A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F5DF1AC">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077" w:type="dxa"/>
            <w:vAlign w:val="center"/>
          </w:tcPr>
          <w:p w14:paraId="6A534558">
            <w:pPr>
              <w:pStyle w:val="5"/>
              <w:jc w:val="center"/>
              <w:rPr>
                <w:color w:val="auto"/>
                <w:highlight w:val="none"/>
              </w:rPr>
            </w:pPr>
            <w:r>
              <w:rPr>
                <w:rFonts w:hint="eastAsia" w:asciiTheme="minorEastAsia" w:hAnsiTheme="minorEastAsia"/>
                <w:b/>
                <w:bCs/>
                <w:color w:val="auto"/>
                <w:sz w:val="24"/>
                <w:szCs w:val="24"/>
                <w:highlight w:val="none"/>
              </w:rPr>
              <w:t>商务条款名称</w:t>
            </w:r>
          </w:p>
        </w:tc>
        <w:tc>
          <w:tcPr>
            <w:tcW w:w="5658" w:type="dxa"/>
            <w:vAlign w:val="center"/>
          </w:tcPr>
          <w:p w14:paraId="5DB43298">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79B2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08" w:type="dxa"/>
            <w:vAlign w:val="center"/>
          </w:tcPr>
          <w:p w14:paraId="62FEAE9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077" w:type="dxa"/>
            <w:vAlign w:val="center"/>
          </w:tcPr>
          <w:p w14:paraId="67FAD2E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658" w:type="dxa"/>
            <w:vAlign w:val="center"/>
          </w:tcPr>
          <w:p w14:paraId="52BC3957">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分批次付款，每批次供货完成且经采购人验收合格后，根据财务管理制度，按实际供货量进行结算。</w:t>
            </w:r>
          </w:p>
        </w:tc>
      </w:tr>
      <w:tr w14:paraId="72C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922286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077" w:type="dxa"/>
            <w:vAlign w:val="center"/>
          </w:tcPr>
          <w:p w14:paraId="7057A6FB">
            <w:pPr>
              <w:jc w:val="center"/>
              <w:rPr>
                <w:rFonts w:ascii="宋体" w:hAnsi="宋体"/>
                <w:color w:val="auto"/>
                <w:sz w:val="24"/>
                <w:highlight w:val="none"/>
              </w:rPr>
            </w:pPr>
            <w:r>
              <w:rPr>
                <w:rFonts w:hint="eastAsia" w:ascii="宋体" w:hAnsi="宋体"/>
                <w:color w:val="auto"/>
                <w:sz w:val="24"/>
                <w:highlight w:val="none"/>
              </w:rPr>
              <w:t>供货地点</w:t>
            </w:r>
          </w:p>
        </w:tc>
        <w:tc>
          <w:tcPr>
            <w:tcW w:w="5658" w:type="dxa"/>
            <w:vAlign w:val="center"/>
          </w:tcPr>
          <w:p w14:paraId="16B376A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安庆市妇幼保健计划生育服务中心</w:t>
            </w:r>
          </w:p>
        </w:tc>
      </w:tr>
      <w:tr w14:paraId="5E7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48BF45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077" w:type="dxa"/>
            <w:vAlign w:val="center"/>
          </w:tcPr>
          <w:p w14:paraId="148262B7">
            <w:pPr>
              <w:jc w:val="center"/>
              <w:rPr>
                <w:rFonts w:ascii="宋体" w:hAnsi="宋体"/>
                <w:color w:val="auto"/>
                <w:sz w:val="24"/>
                <w:highlight w:val="none"/>
              </w:rPr>
            </w:pPr>
            <w:r>
              <w:rPr>
                <w:rFonts w:hint="eastAsia" w:ascii="宋体" w:hAnsi="宋体"/>
                <w:color w:val="auto"/>
                <w:sz w:val="24"/>
                <w:highlight w:val="none"/>
              </w:rPr>
              <w:t>供货期限</w:t>
            </w:r>
          </w:p>
        </w:tc>
        <w:tc>
          <w:tcPr>
            <w:tcW w:w="5658" w:type="dxa"/>
            <w:vAlign w:val="center"/>
          </w:tcPr>
          <w:p w14:paraId="33A9858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根据采购人需求，分批供货，每批货物须于接受采购人通知后10个工作日内供货完毕。</w:t>
            </w:r>
          </w:p>
        </w:tc>
      </w:tr>
      <w:tr w14:paraId="2C9B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08" w:type="dxa"/>
            <w:vAlign w:val="center"/>
          </w:tcPr>
          <w:p w14:paraId="772E4FD5">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077" w:type="dxa"/>
            <w:vAlign w:val="center"/>
          </w:tcPr>
          <w:p w14:paraId="03D9FF9B">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658" w:type="dxa"/>
            <w:vAlign w:val="center"/>
          </w:tcPr>
          <w:p w14:paraId="712F9CA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产品有效期不少于18个月，货物交付采购人时，剩余有效期不得少于12个月。</w:t>
            </w:r>
          </w:p>
        </w:tc>
      </w:tr>
      <w:tr w14:paraId="3AB6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00CB46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077" w:type="dxa"/>
            <w:vAlign w:val="center"/>
          </w:tcPr>
          <w:p w14:paraId="07B37446">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商品包装要求</w:t>
            </w:r>
          </w:p>
        </w:tc>
        <w:tc>
          <w:tcPr>
            <w:tcW w:w="5658" w:type="dxa"/>
            <w:vAlign w:val="center"/>
          </w:tcPr>
          <w:p w14:paraId="2911A289">
            <w:pPr>
              <w:jc w:val="center"/>
              <w:rPr>
                <w:rFonts w:asciiTheme="minorEastAsia" w:hAnsiTheme="minorEastAsia" w:eastAsiaTheme="minorEastAsia"/>
                <w:color w:val="auto"/>
                <w:sz w:val="24"/>
                <w:highlight w:val="none"/>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25DEE7E3">
      <w:pPr>
        <w:ind w:firstLine="422" w:firstLineChars="200"/>
        <w:rPr>
          <w:rFonts w:ascii="宋体" w:hAnsi="宋体"/>
          <w:b/>
          <w:bCs/>
          <w:color w:val="auto"/>
          <w:szCs w:val="21"/>
          <w:highlight w:val="none"/>
        </w:rPr>
      </w:pPr>
    </w:p>
    <w:p w14:paraId="451733A5">
      <w:pPr>
        <w:pStyle w:val="4"/>
        <w:tabs>
          <w:tab w:val="left" w:pos="2730"/>
        </w:tabs>
        <w:ind w:firstLine="472" w:firstLineChars="196"/>
        <w:rPr>
          <w:rFonts w:hAnsi="宋体"/>
          <w:bCs/>
          <w:color w:val="auto"/>
          <w:szCs w:val="24"/>
          <w:highlight w:val="none"/>
        </w:rPr>
      </w:pPr>
      <w:r>
        <w:rPr>
          <w:rFonts w:hint="eastAsia" w:hAnsi="宋体"/>
          <w:bCs/>
          <w:color w:val="auto"/>
          <w:szCs w:val="24"/>
          <w:highlight w:val="none"/>
        </w:rPr>
        <w:t>二、技术要求一览表</w:t>
      </w:r>
    </w:p>
    <w:tbl>
      <w:tblPr>
        <w:tblStyle w:val="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50"/>
        <w:gridCol w:w="4860"/>
        <w:gridCol w:w="765"/>
        <w:gridCol w:w="675"/>
        <w:gridCol w:w="885"/>
        <w:gridCol w:w="847"/>
      </w:tblGrid>
      <w:tr w14:paraId="274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E3978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50" w:type="dxa"/>
            <w:tcBorders>
              <w:top w:val="single" w:color="auto" w:sz="4" w:space="0"/>
              <w:left w:val="single" w:color="auto" w:sz="4" w:space="0"/>
              <w:bottom w:val="single" w:color="auto" w:sz="4" w:space="0"/>
              <w:right w:val="single" w:color="auto" w:sz="4" w:space="0"/>
            </w:tcBorders>
            <w:vAlign w:val="center"/>
          </w:tcPr>
          <w:p w14:paraId="0C99FE2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4860" w:type="dxa"/>
            <w:tcBorders>
              <w:top w:val="single" w:color="auto" w:sz="4" w:space="0"/>
              <w:left w:val="single" w:color="auto" w:sz="4" w:space="0"/>
              <w:bottom w:val="single" w:color="auto" w:sz="4" w:space="0"/>
              <w:right w:val="single" w:color="auto" w:sz="4" w:space="0"/>
            </w:tcBorders>
            <w:vAlign w:val="center"/>
          </w:tcPr>
          <w:p w14:paraId="18AF9AA1">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765" w:type="dxa"/>
            <w:tcBorders>
              <w:top w:val="single" w:color="auto" w:sz="4" w:space="0"/>
              <w:left w:val="single" w:color="auto" w:sz="4" w:space="0"/>
              <w:bottom w:val="single" w:color="auto" w:sz="4" w:space="0"/>
              <w:right w:val="single" w:color="auto" w:sz="4" w:space="0"/>
            </w:tcBorders>
            <w:vAlign w:val="center"/>
          </w:tcPr>
          <w:p w14:paraId="2AA3878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675" w:type="dxa"/>
            <w:tcBorders>
              <w:top w:val="single" w:color="auto" w:sz="4" w:space="0"/>
              <w:left w:val="single" w:color="auto" w:sz="4" w:space="0"/>
              <w:bottom w:val="single" w:color="auto" w:sz="4" w:space="0"/>
              <w:right w:val="single" w:color="auto" w:sz="4" w:space="0"/>
            </w:tcBorders>
            <w:vAlign w:val="center"/>
          </w:tcPr>
          <w:p w14:paraId="3DD484D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885" w:type="dxa"/>
            <w:tcBorders>
              <w:top w:val="single" w:color="auto" w:sz="4" w:space="0"/>
              <w:left w:val="single" w:color="auto" w:sz="4" w:space="0"/>
              <w:bottom w:val="single" w:color="auto" w:sz="4" w:space="0"/>
              <w:right w:val="single" w:color="auto" w:sz="4" w:space="0"/>
            </w:tcBorders>
            <w:vAlign w:val="center"/>
          </w:tcPr>
          <w:p w14:paraId="70F6882A">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单价限价（元）</w:t>
            </w:r>
          </w:p>
        </w:tc>
        <w:tc>
          <w:tcPr>
            <w:tcW w:w="847" w:type="dxa"/>
            <w:tcBorders>
              <w:top w:val="single" w:color="auto" w:sz="4" w:space="0"/>
              <w:left w:val="single" w:color="auto" w:sz="4" w:space="0"/>
              <w:bottom w:val="single" w:color="auto" w:sz="4" w:space="0"/>
              <w:right w:val="single" w:color="auto" w:sz="4" w:space="0"/>
            </w:tcBorders>
            <w:vAlign w:val="center"/>
          </w:tcPr>
          <w:p w14:paraId="50D2FC81">
            <w:pPr>
              <w:widowControl/>
              <w:jc w:val="center"/>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每100克限价（元）</w:t>
            </w:r>
          </w:p>
        </w:tc>
      </w:tr>
      <w:tr w14:paraId="566F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956D1C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50" w:type="dxa"/>
            <w:tcBorders>
              <w:top w:val="single" w:color="auto" w:sz="4" w:space="0"/>
              <w:left w:val="single" w:color="auto" w:sz="4" w:space="0"/>
              <w:bottom w:val="single" w:color="auto" w:sz="4" w:space="0"/>
              <w:right w:val="single" w:color="auto" w:sz="4" w:space="0"/>
            </w:tcBorders>
            <w:vAlign w:val="center"/>
          </w:tcPr>
          <w:p w14:paraId="197791E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vertAlign w:val="baseline"/>
                <w:lang w:val="en-US" w:eastAsia="zh-CN"/>
              </w:rPr>
              <w:t>无苯丙氨酸配方粉</w:t>
            </w:r>
          </w:p>
        </w:tc>
        <w:tc>
          <w:tcPr>
            <w:tcW w:w="4860" w:type="dxa"/>
            <w:tcBorders>
              <w:top w:val="single" w:color="auto" w:sz="4" w:space="0"/>
              <w:left w:val="single" w:color="auto" w:sz="4" w:space="0"/>
              <w:bottom w:val="single" w:color="auto" w:sz="4" w:space="0"/>
              <w:right w:val="single" w:color="auto" w:sz="4" w:space="0"/>
            </w:tcBorders>
            <w:vAlign w:val="center"/>
          </w:tcPr>
          <w:p w14:paraId="783C7E0C">
            <w:pPr>
              <w:widowControl/>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400 克/袋；</w:t>
            </w:r>
          </w:p>
          <w:p w14:paraId="215C9373">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1．食品安全：符合食品安全国家标准。</w:t>
            </w:r>
          </w:p>
          <w:p w14:paraId="1ACDABBF">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2．适用人群：苯丙酮尿症患儿。</w:t>
            </w:r>
          </w:p>
          <w:p w14:paraId="3C536C1C">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3．营养成分：各自包装上标明食物营养成分及配料明细，不含苯丙氨酸和阿斯巴甜。</w:t>
            </w:r>
          </w:p>
          <w:p w14:paraId="29BDBA10">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4．原料：以薯类、豆类、谷类等植物中的一种或几种制成的食用淀粉为原料，禁止使用危害食用者健康的物质。</w:t>
            </w:r>
          </w:p>
          <w:p w14:paraId="41A3E007">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5．原料和包装材料的运输和贮存：在运输和贮存过程应避免太阳直射、雨淋、强烈的温度、湿度变化与撞击等；不应与有毒、有害物品混装、混运。</w:t>
            </w:r>
          </w:p>
          <w:p w14:paraId="5E611997">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6．防止微生物污染：从原料和包装材料进厂到成品出厂的全过程采取必要的措施，防止微生物的污染,减少和去除食品中已有的微生物,控制食品中残留微生物的生长繁殖。一旦出现微生物污染，应采取措施控制。</w:t>
            </w:r>
          </w:p>
          <w:p w14:paraId="59B64BC3">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7.无苯丙氨酸配方粉及无苯丙氨酸蛋白粉产品中蛋白质来源为酪蛋白经水解去除苯丙氨酸后取得。</w:t>
            </w:r>
          </w:p>
          <w:p w14:paraId="5C94A725">
            <w:pPr>
              <w:widowControl/>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配料:</w:t>
            </w:r>
            <w:r>
              <w:rPr>
                <w:rFonts w:hint="eastAsia" w:ascii="宋体" w:hAnsi="宋体" w:eastAsia="宋体" w:cs="宋体"/>
                <w:sz w:val="21"/>
                <w:szCs w:val="21"/>
                <w:highlight w:val="none"/>
                <w:vertAlign w:val="baseline"/>
                <w:lang w:val="en-US" w:eastAsia="zh-CN"/>
              </w:rPr>
              <w:t>植脂末， 白砂糖，水解蛋白【食用干酪素（酪蛋白）】，植物脂肪粉【葡萄糖浆、精炼植 物油（玉米油、低芥酸菜籽油、椰子油）、辛烯基琥珀酸淀粉钠、单，双甘油脂肪酸酯、柠檬 酸脂肪酸甘油酯、柠檬酸钾、柠檬酸钠】，麦芽糊精， 低聚麦芽糖 ，营养强化剂【L-抗坏血 酸钠（维生素 C）、dl-α-醋酸生育酚（维生素 E ）、烟酰胺、醋酸维生素 A、D-泛酸钙、氰钴 胺（维生素 B12）、盐酸硫胺素（维生素 B1）、核黄素（维生素 B2）、盐酸吡哆醇（维生素 B6）、 叶酸、维生素 D3 】，营养强化剂（磷酸氢钙、氧化镁、葡萄糖酸锌、焦磷酸铁）</w:t>
            </w:r>
          </w:p>
          <w:p w14:paraId="212FD239">
            <w:pPr>
              <w:widowControl/>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采用酪蛋白水解去苯为蛋白质来源。 净含量/规格：400 克（100 克×4）。</w:t>
            </w:r>
          </w:p>
          <w:p w14:paraId="2B367108">
            <w:pPr>
              <w:widowControl/>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drawing>
                <wp:inline distT="0" distB="0" distL="114300" distR="114300">
                  <wp:extent cx="2806700" cy="2765425"/>
                  <wp:effectExtent l="0" t="0" r="1270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806700" cy="2765425"/>
                          </a:xfrm>
                          <a:prstGeom prst="rect">
                            <a:avLst/>
                          </a:prstGeom>
                          <a:noFill/>
                          <a:ln>
                            <a:noFill/>
                          </a:ln>
                        </pic:spPr>
                      </pic:pic>
                    </a:graphicData>
                  </a:graphic>
                </wp:inline>
              </w:drawing>
            </w:r>
          </w:p>
          <w:p w14:paraId="6AE01EB3">
            <w:pPr>
              <w:widowControl/>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苯丙氨酸≤150mg/100g</w:t>
            </w:r>
          </w:p>
        </w:tc>
        <w:tc>
          <w:tcPr>
            <w:tcW w:w="765" w:type="dxa"/>
            <w:tcBorders>
              <w:top w:val="single" w:color="auto" w:sz="4" w:space="0"/>
              <w:left w:val="single" w:color="auto" w:sz="4" w:space="0"/>
              <w:bottom w:val="single" w:color="auto" w:sz="4" w:space="0"/>
              <w:right w:val="single" w:color="auto" w:sz="4" w:space="0"/>
            </w:tcBorders>
            <w:vAlign w:val="center"/>
          </w:tcPr>
          <w:p w14:paraId="07162777">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袋</w:t>
            </w:r>
          </w:p>
        </w:tc>
        <w:tc>
          <w:tcPr>
            <w:tcW w:w="675" w:type="dxa"/>
            <w:tcBorders>
              <w:top w:val="single" w:color="auto" w:sz="4" w:space="0"/>
              <w:left w:val="single" w:color="auto" w:sz="4" w:space="0"/>
              <w:bottom w:val="single" w:color="auto" w:sz="4" w:space="0"/>
              <w:right w:val="single" w:color="auto" w:sz="4" w:space="0"/>
            </w:tcBorders>
            <w:vAlign w:val="center"/>
          </w:tcPr>
          <w:p w14:paraId="677F7B6C">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630</w:t>
            </w:r>
          </w:p>
        </w:tc>
        <w:tc>
          <w:tcPr>
            <w:tcW w:w="885" w:type="dxa"/>
            <w:tcBorders>
              <w:top w:val="single" w:color="auto" w:sz="4" w:space="0"/>
              <w:left w:val="single" w:color="auto" w:sz="4" w:space="0"/>
              <w:bottom w:val="single" w:color="auto" w:sz="4" w:space="0"/>
              <w:right w:val="single" w:color="auto" w:sz="4" w:space="0"/>
            </w:tcBorders>
            <w:vAlign w:val="center"/>
          </w:tcPr>
          <w:p w14:paraId="1C5F423E">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96</w:t>
            </w:r>
          </w:p>
        </w:tc>
        <w:tc>
          <w:tcPr>
            <w:tcW w:w="847" w:type="dxa"/>
            <w:tcBorders>
              <w:top w:val="single" w:color="auto" w:sz="4" w:space="0"/>
              <w:left w:val="single" w:color="auto" w:sz="4" w:space="0"/>
              <w:bottom w:val="single" w:color="auto" w:sz="4" w:space="0"/>
              <w:right w:val="single" w:color="auto" w:sz="4" w:space="0"/>
            </w:tcBorders>
            <w:vAlign w:val="center"/>
          </w:tcPr>
          <w:p w14:paraId="47B9A0EB">
            <w:pPr>
              <w:pStyle w:val="9"/>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24</w:t>
            </w:r>
          </w:p>
        </w:tc>
      </w:tr>
      <w:tr w14:paraId="0892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7C7FD9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50" w:type="dxa"/>
            <w:tcBorders>
              <w:top w:val="single" w:color="auto" w:sz="4" w:space="0"/>
              <w:left w:val="single" w:color="auto" w:sz="4" w:space="0"/>
              <w:bottom w:val="single" w:color="auto" w:sz="4" w:space="0"/>
              <w:right w:val="single" w:color="auto" w:sz="4" w:space="0"/>
            </w:tcBorders>
            <w:vAlign w:val="center"/>
          </w:tcPr>
          <w:p w14:paraId="773EB753">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无苯丙氨酸大米</w:t>
            </w:r>
          </w:p>
          <w:p w14:paraId="2C86D14E">
            <w:pPr>
              <w:jc w:val="center"/>
              <w:rPr>
                <w:rFonts w:hint="eastAsia" w:ascii="宋体" w:hAnsi="宋体" w:eastAsia="宋体" w:cs="宋体"/>
                <w:kern w:val="2"/>
                <w:sz w:val="21"/>
                <w:szCs w:val="21"/>
                <w:highlight w:val="none"/>
                <w:vertAlign w:val="baseline"/>
                <w:lang w:val="en-US" w:eastAsia="zh-CN" w:bidi="ar-SA"/>
              </w:rPr>
            </w:pPr>
          </w:p>
        </w:tc>
        <w:tc>
          <w:tcPr>
            <w:tcW w:w="4860" w:type="dxa"/>
            <w:tcBorders>
              <w:top w:val="single" w:color="auto" w:sz="4" w:space="0"/>
              <w:left w:val="single" w:color="auto" w:sz="4" w:space="0"/>
              <w:bottom w:val="single" w:color="auto" w:sz="4" w:space="0"/>
              <w:right w:val="single" w:color="auto" w:sz="4" w:space="0"/>
            </w:tcBorders>
            <w:vAlign w:val="center"/>
          </w:tcPr>
          <w:p w14:paraId="5500062C">
            <w:pPr>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 克/袋；</w:t>
            </w:r>
          </w:p>
          <w:p w14:paraId="21488AA2">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1．食品安全：符合食品安全国家标准。</w:t>
            </w:r>
          </w:p>
          <w:p w14:paraId="7E44ACFE">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2．适用人群：苯丙酮尿症患儿。</w:t>
            </w:r>
          </w:p>
          <w:p w14:paraId="6BB8C953">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3．营养成分：各自包装上标明食物营养成分及配料明细，不含苯丙氨酸和阿斯巴甜。</w:t>
            </w:r>
          </w:p>
          <w:p w14:paraId="05354AA3">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4．原料：以薯类、豆类、谷类等植物中的一种或几种制成的食用淀粉为原料，禁止使用危害食用者健康的物质。</w:t>
            </w:r>
          </w:p>
          <w:p w14:paraId="7AD8EE29">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5．原料和包装材料的运输和贮存：在运输和贮存过程应避免太阳直射、雨淋、强烈的温度、湿度变化与撞击等；不应与有毒、有害物品混装、混运。</w:t>
            </w:r>
          </w:p>
          <w:p w14:paraId="219092FE">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6．防止微生物污染：从原料和包装材料进厂到成品出厂的全过程采取必要的措施，防止微生物的污染,减少和去除食品中已有的微生物,控制食品中残留微生物的生长繁殖。一旦出现微生物污染，应采取措施控制。</w:t>
            </w:r>
          </w:p>
          <w:p w14:paraId="7ED5B36C">
            <w:pPr>
              <w:pStyle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产品详细性能说明：</w:t>
            </w:r>
          </w:p>
          <w:p w14:paraId="538F3017">
            <w:pPr>
              <w:pStyle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配料：</w:t>
            </w:r>
            <w:r>
              <w:rPr>
                <w:rFonts w:hint="eastAsia" w:ascii="宋体" w:hAnsi="宋体" w:eastAsia="宋体" w:cs="宋体"/>
                <w:color w:val="auto"/>
                <w:kern w:val="0"/>
                <w:sz w:val="21"/>
                <w:szCs w:val="21"/>
                <w:highlight w:val="none"/>
              </w:rPr>
              <w:t xml:space="preserve"> 淀粉、麦芽糊精、预糊化淀粉、食品添加剂（羧甲基纤维素钠） </w:t>
            </w:r>
          </w:p>
          <w:p w14:paraId="7B51E7D2">
            <w:pPr>
              <w:pStyle w:val="9"/>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drawing>
                <wp:inline distT="0" distB="0" distL="114300" distR="114300">
                  <wp:extent cx="2806065" cy="1020445"/>
                  <wp:effectExtent l="0" t="0" r="1333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806065" cy="1020445"/>
                          </a:xfrm>
                          <a:prstGeom prst="rect">
                            <a:avLst/>
                          </a:prstGeom>
                          <a:noFill/>
                          <a:ln>
                            <a:noFill/>
                          </a:ln>
                        </pic:spPr>
                      </pic:pic>
                    </a:graphicData>
                  </a:graphic>
                </wp:inline>
              </w:drawing>
            </w:r>
          </w:p>
        </w:tc>
        <w:tc>
          <w:tcPr>
            <w:tcW w:w="765" w:type="dxa"/>
            <w:tcBorders>
              <w:top w:val="single" w:color="auto" w:sz="4" w:space="0"/>
              <w:left w:val="single" w:color="auto" w:sz="4" w:space="0"/>
              <w:bottom w:val="single" w:color="auto" w:sz="4" w:space="0"/>
              <w:right w:val="single" w:color="auto" w:sz="4" w:space="0"/>
            </w:tcBorders>
            <w:vAlign w:val="center"/>
          </w:tcPr>
          <w:p w14:paraId="40B743E3">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袋</w:t>
            </w:r>
          </w:p>
        </w:tc>
        <w:tc>
          <w:tcPr>
            <w:tcW w:w="675" w:type="dxa"/>
            <w:tcBorders>
              <w:top w:val="single" w:color="auto" w:sz="4" w:space="0"/>
              <w:left w:val="single" w:color="auto" w:sz="4" w:space="0"/>
              <w:bottom w:val="single" w:color="auto" w:sz="4" w:space="0"/>
              <w:right w:val="single" w:color="auto" w:sz="4" w:space="0"/>
            </w:tcBorders>
            <w:vAlign w:val="center"/>
          </w:tcPr>
          <w:p w14:paraId="1B656A7C">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802</w:t>
            </w:r>
          </w:p>
        </w:tc>
        <w:tc>
          <w:tcPr>
            <w:tcW w:w="885" w:type="dxa"/>
            <w:tcBorders>
              <w:top w:val="single" w:color="auto" w:sz="4" w:space="0"/>
              <w:left w:val="single" w:color="auto" w:sz="4" w:space="0"/>
              <w:bottom w:val="single" w:color="auto" w:sz="4" w:space="0"/>
              <w:right w:val="single" w:color="auto" w:sz="4" w:space="0"/>
            </w:tcBorders>
            <w:vAlign w:val="center"/>
          </w:tcPr>
          <w:p w14:paraId="79E88696">
            <w:pPr>
              <w:jc w:val="center"/>
              <w:rPr>
                <w:rFonts w:hint="eastAsia" w:ascii="宋体" w:hAnsi="宋体" w:eastAsia="宋体" w:cs="宋体"/>
                <w:kern w:val="2"/>
                <w:sz w:val="21"/>
                <w:szCs w:val="21"/>
                <w:highlight w:val="none"/>
                <w:vertAlign w:val="baseline"/>
                <w:lang w:val="en-US" w:eastAsia="zh-CN" w:bidi="ar-SA"/>
                <w14:ligatures w14:val="standardContextual"/>
              </w:rPr>
            </w:pPr>
            <w:r>
              <w:rPr>
                <w:rFonts w:hint="eastAsia" w:ascii="宋体" w:hAnsi="宋体" w:eastAsia="宋体" w:cs="宋体"/>
                <w:kern w:val="2"/>
                <w:sz w:val="21"/>
                <w:szCs w:val="21"/>
                <w:highlight w:val="none"/>
                <w:vertAlign w:val="baseline"/>
                <w:lang w:val="en-US" w:eastAsia="zh-CN" w:bidi="ar-SA"/>
                <w14:ligatures w14:val="standardContextual"/>
              </w:rPr>
              <w:t>38</w:t>
            </w:r>
          </w:p>
        </w:tc>
        <w:tc>
          <w:tcPr>
            <w:tcW w:w="847" w:type="dxa"/>
            <w:tcBorders>
              <w:top w:val="single" w:color="auto" w:sz="4" w:space="0"/>
              <w:left w:val="single" w:color="auto" w:sz="4" w:space="0"/>
              <w:bottom w:val="single" w:color="auto" w:sz="4" w:space="0"/>
              <w:right w:val="single" w:color="auto" w:sz="4" w:space="0"/>
            </w:tcBorders>
            <w:vAlign w:val="center"/>
          </w:tcPr>
          <w:p w14:paraId="26D78C1A">
            <w:pPr>
              <w:pStyle w:val="9"/>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3.8</w:t>
            </w:r>
          </w:p>
        </w:tc>
      </w:tr>
      <w:tr w14:paraId="4E85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A679AB8">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050" w:type="dxa"/>
            <w:tcBorders>
              <w:top w:val="single" w:color="auto" w:sz="4" w:space="0"/>
              <w:left w:val="single" w:color="auto" w:sz="4" w:space="0"/>
              <w:bottom w:val="single" w:color="auto" w:sz="4" w:space="0"/>
              <w:right w:val="single" w:color="auto" w:sz="4" w:space="0"/>
            </w:tcBorders>
            <w:vAlign w:val="center"/>
          </w:tcPr>
          <w:p w14:paraId="298E1216">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无苯丙氨酸粉条</w:t>
            </w:r>
          </w:p>
          <w:p w14:paraId="4B70BD1C">
            <w:pPr>
              <w:jc w:val="center"/>
              <w:rPr>
                <w:rFonts w:hint="eastAsia" w:ascii="宋体" w:hAnsi="宋体" w:eastAsia="宋体" w:cs="宋体"/>
                <w:kern w:val="2"/>
                <w:sz w:val="21"/>
                <w:szCs w:val="21"/>
                <w:highlight w:val="none"/>
                <w:vertAlign w:val="baseline"/>
                <w:lang w:val="en-US" w:eastAsia="zh-CN" w:bidi="ar-SA"/>
              </w:rPr>
            </w:pPr>
          </w:p>
        </w:tc>
        <w:tc>
          <w:tcPr>
            <w:tcW w:w="4860" w:type="dxa"/>
            <w:tcBorders>
              <w:top w:val="single" w:color="auto" w:sz="4" w:space="0"/>
              <w:left w:val="single" w:color="auto" w:sz="4" w:space="0"/>
              <w:bottom w:val="single" w:color="auto" w:sz="4" w:space="0"/>
              <w:right w:val="single" w:color="auto" w:sz="4" w:space="0"/>
            </w:tcBorders>
            <w:vAlign w:val="center"/>
          </w:tcPr>
          <w:p w14:paraId="625B3EC1">
            <w:pPr>
              <w:pStyle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500 克/袋</w:t>
            </w:r>
            <w:r>
              <w:rPr>
                <w:rFonts w:hint="eastAsia" w:ascii="宋体" w:hAnsi="宋体" w:eastAsia="宋体" w:cs="宋体"/>
                <w:color w:val="auto"/>
                <w:kern w:val="0"/>
                <w:sz w:val="21"/>
                <w:szCs w:val="21"/>
                <w:highlight w:val="none"/>
                <w:lang w:eastAsia="zh-CN"/>
              </w:rPr>
              <w:t>；</w:t>
            </w:r>
          </w:p>
          <w:p w14:paraId="56366B90">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1．食品安全：符合食品安全国家标准。</w:t>
            </w:r>
          </w:p>
          <w:p w14:paraId="22B1EC5A">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2．适用人群：苯丙酮尿症患儿。</w:t>
            </w:r>
          </w:p>
          <w:p w14:paraId="75DFEC34">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3．营养成分：各自包装上标明食物营养成分及配料明细，不含苯丙氨酸和阿斯巴甜。</w:t>
            </w:r>
          </w:p>
          <w:p w14:paraId="469BD20A">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4．原料：以薯类、豆类、谷类等植物中的一种或几种制成的食用淀粉为原料，禁止使用危害食用者健康的物质。</w:t>
            </w:r>
          </w:p>
          <w:p w14:paraId="1320C151">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5．原料和包装材料的运输和贮存：在运输和贮存过程应避免太阳直射、雨淋、强烈的温度、湿度变化与撞击等；不应与有毒、有害物品混装、混运。</w:t>
            </w:r>
          </w:p>
          <w:p w14:paraId="2C2F53E0">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6．防止微生物污染：从原料和包装材料进厂到成品出厂的全过程采取必要的措施，防止微生物的污染,减少和去除食品中已有的微生物,控制食品中残留微生物的生长繁殖。一旦出现微生物污染，应采取措施控制。</w:t>
            </w:r>
          </w:p>
          <w:p w14:paraId="64D222DA">
            <w:pPr>
              <w:pStyle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产品详细性能说明：</w:t>
            </w:r>
          </w:p>
          <w:p w14:paraId="24CD1E2C">
            <w:pPr>
              <w:pStyle w:val="9"/>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配料：</w:t>
            </w:r>
            <w:r>
              <w:rPr>
                <w:rFonts w:hint="eastAsia" w:ascii="宋体" w:hAnsi="宋体" w:eastAsia="宋体" w:cs="宋体"/>
                <w:color w:val="auto"/>
                <w:kern w:val="0"/>
                <w:sz w:val="21"/>
                <w:szCs w:val="21"/>
                <w:highlight w:val="none"/>
                <w:lang w:eastAsia="zh-CN"/>
              </w:rPr>
              <w:t xml:space="preserve">淀粉、麦芽糊精、预糊化淀粉  </w:t>
            </w:r>
          </w:p>
          <w:p w14:paraId="55961FF9">
            <w:pPr>
              <w:pStyle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食品添加剂（ 羧甲基纤维素钠）</w:t>
            </w:r>
          </w:p>
          <w:p w14:paraId="170963C2">
            <w:pPr>
              <w:pStyle w:val="9"/>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highlight w:val="none"/>
              </w:rPr>
              <w:drawing>
                <wp:inline distT="0" distB="0" distL="114300" distR="114300">
                  <wp:extent cx="2804160" cy="1136015"/>
                  <wp:effectExtent l="0" t="0" r="1524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2804160" cy="1136015"/>
                          </a:xfrm>
                          <a:prstGeom prst="rect">
                            <a:avLst/>
                          </a:prstGeom>
                          <a:noFill/>
                          <a:ln>
                            <a:noFill/>
                          </a:ln>
                        </pic:spPr>
                      </pic:pic>
                    </a:graphicData>
                  </a:graphic>
                </wp:inline>
              </w:drawing>
            </w:r>
          </w:p>
        </w:tc>
        <w:tc>
          <w:tcPr>
            <w:tcW w:w="765" w:type="dxa"/>
            <w:tcBorders>
              <w:top w:val="single" w:color="auto" w:sz="4" w:space="0"/>
              <w:left w:val="single" w:color="auto" w:sz="4" w:space="0"/>
              <w:bottom w:val="single" w:color="auto" w:sz="4" w:space="0"/>
              <w:right w:val="single" w:color="auto" w:sz="4" w:space="0"/>
            </w:tcBorders>
            <w:vAlign w:val="center"/>
          </w:tcPr>
          <w:p w14:paraId="1B0A4CC5">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袋</w:t>
            </w:r>
          </w:p>
        </w:tc>
        <w:tc>
          <w:tcPr>
            <w:tcW w:w="675" w:type="dxa"/>
            <w:tcBorders>
              <w:top w:val="single" w:color="auto" w:sz="4" w:space="0"/>
              <w:left w:val="single" w:color="auto" w:sz="4" w:space="0"/>
              <w:bottom w:val="single" w:color="auto" w:sz="4" w:space="0"/>
              <w:right w:val="single" w:color="auto" w:sz="4" w:space="0"/>
            </w:tcBorders>
            <w:vAlign w:val="center"/>
          </w:tcPr>
          <w:p w14:paraId="7E0D1AD8">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80</w:t>
            </w:r>
          </w:p>
        </w:tc>
        <w:tc>
          <w:tcPr>
            <w:tcW w:w="885" w:type="dxa"/>
            <w:tcBorders>
              <w:top w:val="single" w:color="auto" w:sz="4" w:space="0"/>
              <w:left w:val="single" w:color="auto" w:sz="4" w:space="0"/>
              <w:bottom w:val="single" w:color="auto" w:sz="4" w:space="0"/>
              <w:right w:val="single" w:color="auto" w:sz="4" w:space="0"/>
            </w:tcBorders>
            <w:vAlign w:val="center"/>
          </w:tcPr>
          <w:p w14:paraId="27B9A052">
            <w:pPr>
              <w:jc w:val="center"/>
              <w:rPr>
                <w:rFonts w:hint="eastAsia" w:ascii="宋体" w:hAnsi="宋体" w:eastAsia="宋体" w:cs="宋体"/>
                <w:kern w:val="2"/>
                <w:sz w:val="21"/>
                <w:szCs w:val="21"/>
                <w:highlight w:val="none"/>
                <w:vertAlign w:val="baseline"/>
                <w:lang w:val="en-US" w:eastAsia="zh-CN" w:bidi="ar-SA"/>
                <w14:ligatures w14:val="standardContextual"/>
              </w:rPr>
            </w:pPr>
            <w:r>
              <w:rPr>
                <w:rFonts w:hint="eastAsia" w:ascii="宋体" w:hAnsi="宋体" w:eastAsia="宋体" w:cs="宋体"/>
                <w:kern w:val="2"/>
                <w:sz w:val="21"/>
                <w:szCs w:val="21"/>
                <w:highlight w:val="none"/>
                <w:vertAlign w:val="baseline"/>
                <w:lang w:val="en-US" w:eastAsia="zh-CN" w:bidi="ar-SA"/>
                <w14:ligatures w14:val="standardContextual"/>
              </w:rPr>
              <w:t>16.8</w:t>
            </w:r>
          </w:p>
        </w:tc>
        <w:tc>
          <w:tcPr>
            <w:tcW w:w="847" w:type="dxa"/>
            <w:tcBorders>
              <w:top w:val="single" w:color="auto" w:sz="4" w:space="0"/>
              <w:left w:val="single" w:color="auto" w:sz="4" w:space="0"/>
              <w:bottom w:val="single" w:color="auto" w:sz="4" w:space="0"/>
              <w:right w:val="single" w:color="auto" w:sz="4" w:space="0"/>
            </w:tcBorders>
            <w:vAlign w:val="center"/>
          </w:tcPr>
          <w:p w14:paraId="36D14C6C">
            <w:pPr>
              <w:pStyle w:val="9"/>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3.36</w:t>
            </w:r>
          </w:p>
        </w:tc>
      </w:tr>
      <w:tr w14:paraId="1FC9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AC7BB15">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050" w:type="dxa"/>
            <w:tcBorders>
              <w:top w:val="single" w:color="auto" w:sz="4" w:space="0"/>
              <w:left w:val="single" w:color="auto" w:sz="4" w:space="0"/>
              <w:bottom w:val="single" w:color="auto" w:sz="4" w:space="0"/>
              <w:right w:val="single" w:color="auto" w:sz="4" w:space="0"/>
            </w:tcBorders>
            <w:vAlign w:val="center"/>
          </w:tcPr>
          <w:p w14:paraId="5B9D45D3">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无苯丙氨酸面粉</w:t>
            </w:r>
          </w:p>
          <w:p w14:paraId="6C458C23">
            <w:pPr>
              <w:jc w:val="center"/>
              <w:rPr>
                <w:rFonts w:hint="eastAsia" w:ascii="宋体" w:hAnsi="宋体" w:eastAsia="宋体" w:cs="宋体"/>
                <w:kern w:val="2"/>
                <w:sz w:val="21"/>
                <w:szCs w:val="21"/>
                <w:highlight w:val="none"/>
                <w:vertAlign w:val="baseline"/>
                <w:lang w:val="en-US" w:eastAsia="zh-CN" w:bidi="ar-SA"/>
              </w:rPr>
            </w:pPr>
          </w:p>
        </w:tc>
        <w:tc>
          <w:tcPr>
            <w:tcW w:w="4860" w:type="dxa"/>
            <w:tcBorders>
              <w:top w:val="single" w:color="auto" w:sz="4" w:space="0"/>
              <w:left w:val="single" w:color="auto" w:sz="4" w:space="0"/>
              <w:bottom w:val="single" w:color="auto" w:sz="4" w:space="0"/>
              <w:right w:val="single" w:color="auto" w:sz="4" w:space="0"/>
            </w:tcBorders>
            <w:vAlign w:val="center"/>
          </w:tcPr>
          <w:p w14:paraId="20F3EB27">
            <w:pPr>
              <w:pStyle w:val="9"/>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 克/袋；</w:t>
            </w:r>
          </w:p>
          <w:p w14:paraId="2395C494">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1．食品安全：符合食品安全国家标准。</w:t>
            </w:r>
          </w:p>
          <w:p w14:paraId="26E74FED">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2．适用人群：苯丙酮尿症患儿。</w:t>
            </w:r>
          </w:p>
          <w:p w14:paraId="2EED4A12">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3．营养成分：各自包装上标明食物营养成分及配料明细，不含苯丙氨酸和阿斯巴甜。</w:t>
            </w:r>
          </w:p>
          <w:p w14:paraId="532D7EC7">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4．原料：以薯类、豆类、谷类等植物中的一种或几种制成的食用淀粉为原料，禁止使用危害食用者健康的物质。</w:t>
            </w:r>
          </w:p>
          <w:p w14:paraId="78384DDC">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5．原料和包装材料的运输和贮存：在运输和贮存过程应避免太阳直射、雨淋、强烈的温度、湿度变化与撞击等；不应与有毒、有害物品混装、混运。</w:t>
            </w:r>
          </w:p>
          <w:p w14:paraId="4CBF900F">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6．防止微生物污染：从原料和包装材料进厂到成品出厂的全过程采取必要的措施，防止微生物的污染,减少和去除食品中已有的微生物,控制食品中残留微生物的生长繁殖。一旦出现微生物污染，应采取措施控制。</w:t>
            </w:r>
          </w:p>
          <w:p w14:paraId="0BF982F2">
            <w:pPr>
              <w:pStyle w:val="9"/>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产品详细性能说明：</w:t>
            </w:r>
          </w:p>
          <w:p w14:paraId="70EE2527">
            <w:pPr>
              <w:pStyle w:val="9"/>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配料：</w:t>
            </w:r>
            <w:r>
              <w:rPr>
                <w:rFonts w:hint="eastAsia" w:ascii="宋体" w:hAnsi="宋体" w:eastAsia="宋体" w:cs="宋体"/>
                <w:sz w:val="21"/>
                <w:szCs w:val="21"/>
                <w:highlight w:val="none"/>
                <w:vertAlign w:val="baseline"/>
                <w:lang w:val="en-US" w:eastAsia="zh-CN"/>
              </w:rPr>
              <w:t xml:space="preserve">淀粉 、麦芽糊精、 食品添加剂(黄原胶 、羧甲基纤维素钠) </w:t>
            </w:r>
          </w:p>
          <w:p w14:paraId="3C74ECA2">
            <w:pPr>
              <w:pStyle w:val="9"/>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drawing>
                <wp:inline distT="0" distB="0" distL="114300" distR="114300">
                  <wp:extent cx="2805430" cy="1091565"/>
                  <wp:effectExtent l="0" t="0" r="13970" b="133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2805430" cy="1091565"/>
                          </a:xfrm>
                          <a:prstGeom prst="rect">
                            <a:avLst/>
                          </a:prstGeom>
                          <a:noFill/>
                          <a:ln>
                            <a:noFill/>
                          </a:ln>
                        </pic:spPr>
                      </pic:pic>
                    </a:graphicData>
                  </a:graphic>
                </wp:inline>
              </w:drawing>
            </w:r>
          </w:p>
        </w:tc>
        <w:tc>
          <w:tcPr>
            <w:tcW w:w="765" w:type="dxa"/>
            <w:tcBorders>
              <w:top w:val="single" w:color="auto" w:sz="4" w:space="0"/>
              <w:left w:val="single" w:color="auto" w:sz="4" w:space="0"/>
              <w:bottom w:val="single" w:color="auto" w:sz="4" w:space="0"/>
              <w:right w:val="single" w:color="auto" w:sz="4" w:space="0"/>
            </w:tcBorders>
            <w:vAlign w:val="center"/>
          </w:tcPr>
          <w:p w14:paraId="5D7B2D19">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袋</w:t>
            </w:r>
          </w:p>
        </w:tc>
        <w:tc>
          <w:tcPr>
            <w:tcW w:w="675" w:type="dxa"/>
            <w:tcBorders>
              <w:top w:val="single" w:color="auto" w:sz="4" w:space="0"/>
              <w:left w:val="single" w:color="auto" w:sz="4" w:space="0"/>
              <w:bottom w:val="single" w:color="auto" w:sz="4" w:space="0"/>
              <w:right w:val="single" w:color="auto" w:sz="4" w:space="0"/>
            </w:tcBorders>
            <w:vAlign w:val="center"/>
          </w:tcPr>
          <w:p w14:paraId="0836C029">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16</w:t>
            </w:r>
          </w:p>
        </w:tc>
        <w:tc>
          <w:tcPr>
            <w:tcW w:w="885" w:type="dxa"/>
            <w:tcBorders>
              <w:top w:val="single" w:color="auto" w:sz="4" w:space="0"/>
              <w:left w:val="single" w:color="auto" w:sz="4" w:space="0"/>
              <w:bottom w:val="single" w:color="auto" w:sz="4" w:space="0"/>
              <w:right w:val="single" w:color="auto" w:sz="4" w:space="0"/>
            </w:tcBorders>
            <w:vAlign w:val="center"/>
          </w:tcPr>
          <w:p w14:paraId="6C15E18B">
            <w:pPr>
              <w:jc w:val="center"/>
              <w:rPr>
                <w:rFonts w:hint="eastAsia" w:ascii="宋体" w:hAnsi="宋体" w:eastAsia="宋体" w:cs="宋体"/>
                <w:kern w:val="2"/>
                <w:sz w:val="21"/>
                <w:szCs w:val="21"/>
                <w:highlight w:val="none"/>
                <w:vertAlign w:val="baseline"/>
                <w:lang w:val="en-US" w:eastAsia="zh-CN" w:bidi="ar-SA"/>
                <w14:ligatures w14:val="standardContextual"/>
              </w:rPr>
            </w:pPr>
            <w:r>
              <w:rPr>
                <w:rFonts w:hint="eastAsia" w:ascii="宋体" w:hAnsi="宋体" w:eastAsia="宋体" w:cs="宋体"/>
                <w:kern w:val="2"/>
                <w:sz w:val="21"/>
                <w:szCs w:val="21"/>
                <w:highlight w:val="none"/>
                <w:vertAlign w:val="baseline"/>
                <w:lang w:val="en-US" w:eastAsia="zh-CN" w:bidi="ar-SA"/>
                <w14:ligatures w14:val="standardContextual"/>
              </w:rPr>
              <w:t>16</w:t>
            </w:r>
          </w:p>
        </w:tc>
        <w:tc>
          <w:tcPr>
            <w:tcW w:w="847" w:type="dxa"/>
            <w:tcBorders>
              <w:top w:val="single" w:color="auto" w:sz="4" w:space="0"/>
              <w:left w:val="single" w:color="auto" w:sz="4" w:space="0"/>
              <w:bottom w:val="single" w:color="auto" w:sz="4" w:space="0"/>
              <w:right w:val="single" w:color="auto" w:sz="4" w:space="0"/>
            </w:tcBorders>
            <w:vAlign w:val="center"/>
          </w:tcPr>
          <w:p w14:paraId="71BABA48">
            <w:pPr>
              <w:pStyle w:val="9"/>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r>
      <w:tr w14:paraId="50E5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ED94520">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050" w:type="dxa"/>
            <w:tcBorders>
              <w:top w:val="single" w:color="auto" w:sz="4" w:space="0"/>
              <w:left w:val="single" w:color="auto" w:sz="4" w:space="0"/>
              <w:bottom w:val="single" w:color="auto" w:sz="4" w:space="0"/>
              <w:right w:val="single" w:color="auto" w:sz="4" w:space="0"/>
            </w:tcBorders>
            <w:vAlign w:val="center"/>
          </w:tcPr>
          <w:p w14:paraId="4EBCAED0">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无苯丙氨酸蛋白粉</w:t>
            </w:r>
          </w:p>
          <w:p w14:paraId="15C1949F">
            <w:pPr>
              <w:jc w:val="center"/>
              <w:rPr>
                <w:rFonts w:hint="eastAsia" w:ascii="宋体" w:hAnsi="宋体" w:eastAsia="宋体" w:cs="宋体"/>
                <w:kern w:val="2"/>
                <w:sz w:val="21"/>
                <w:szCs w:val="21"/>
                <w:highlight w:val="none"/>
                <w:vertAlign w:val="baseline"/>
                <w:lang w:val="en-US" w:eastAsia="zh-CN" w:bidi="ar-SA"/>
              </w:rPr>
            </w:pPr>
          </w:p>
        </w:tc>
        <w:tc>
          <w:tcPr>
            <w:tcW w:w="4860" w:type="dxa"/>
            <w:tcBorders>
              <w:top w:val="single" w:color="auto" w:sz="4" w:space="0"/>
              <w:left w:val="single" w:color="auto" w:sz="4" w:space="0"/>
              <w:bottom w:val="single" w:color="auto" w:sz="4" w:space="0"/>
              <w:right w:val="single" w:color="auto" w:sz="4" w:space="0"/>
            </w:tcBorders>
            <w:vAlign w:val="center"/>
          </w:tcPr>
          <w:p w14:paraId="168D6906">
            <w:pPr>
              <w:pStyle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300 克/桶</w:t>
            </w:r>
            <w:r>
              <w:rPr>
                <w:rFonts w:hint="eastAsia" w:ascii="宋体" w:hAnsi="宋体" w:eastAsia="宋体" w:cs="宋体"/>
                <w:color w:val="auto"/>
                <w:kern w:val="0"/>
                <w:sz w:val="21"/>
                <w:szCs w:val="21"/>
                <w:highlight w:val="none"/>
                <w:lang w:eastAsia="zh-CN"/>
              </w:rPr>
              <w:t>；</w:t>
            </w:r>
          </w:p>
          <w:p w14:paraId="0079ACCD">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1．食品安全：符合食品安全国家标准。</w:t>
            </w:r>
          </w:p>
          <w:p w14:paraId="52BB4405">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2．适用人群：苯丙酮尿症患儿。</w:t>
            </w:r>
          </w:p>
          <w:p w14:paraId="3F740C44">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3．营养成分：各自包装上标明食物营养成分及配料明细，不含苯丙氨酸和阿斯巴甜。</w:t>
            </w:r>
          </w:p>
          <w:p w14:paraId="0A60F0D4">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4．原料：以薯类、豆类、谷类等植物中的一种或几种制成的食用淀粉为原料，禁止使用危害食用者健康的物质。</w:t>
            </w:r>
          </w:p>
          <w:p w14:paraId="212FF5CA">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5．原料和包装材料的运输和贮存：在运输和贮存过程应避免太阳直射、雨淋、强烈的温度、湿度变化与撞击等；不应与有毒、有害物品混装、混运。</w:t>
            </w:r>
          </w:p>
          <w:p w14:paraId="5C920565">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6．防止微生物污染：从原料和包装材料进厂到成品出厂的全过程采取必要的措施，防止微生物的污染,减少和去除食品中已有的微生物,控制食品中残留微生物的生长繁殖。一旦出现微生物污染，应采取措施控制。</w:t>
            </w:r>
          </w:p>
          <w:p w14:paraId="641E8AA7">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7.无苯丙氨酸配方粉及无苯丙氨酸蛋白粉产品中蛋白质来源为酪蛋白经水解去除苯丙氨酸后取得。</w:t>
            </w:r>
          </w:p>
          <w:p w14:paraId="29343D5C">
            <w:pPr>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配料:</w:t>
            </w:r>
            <w:r>
              <w:rPr>
                <w:rFonts w:hint="eastAsia" w:ascii="宋体" w:hAnsi="宋体" w:eastAsia="宋体" w:cs="宋体"/>
                <w:sz w:val="21"/>
                <w:szCs w:val="21"/>
                <w:highlight w:val="none"/>
                <w:vertAlign w:val="baseline"/>
                <w:lang w:val="en-US" w:eastAsia="zh-CN"/>
              </w:rPr>
              <w:t>水解蛋白【乳清蛋白、食用干酪素（酪蛋白）】，植脂末，麦芽糊精，营养强化剂【L-抗 坏血酸钠（维生素 C）、dl-α-醋酸生育酚（维生素 E ）、烟酰胺、醋酸维生素 A、D-泛酸钙、 氰钴胺（维生素 B12）、盐酸硫胺素（维生素 B1）、核黄素（维生素 B2）、盐酸吡哆醇（维生素 B6）、叶酸、维生素 D3 】，营养强化剂（磷酸氢钙、氧化镁、葡萄糖酸锌、焦磷酸铁），采用乳清蛋白和酪蛋白水解去苯为蛋白质来源。</w:t>
            </w:r>
          </w:p>
          <w:p w14:paraId="3E76ACF7">
            <w:pPr>
              <w:rPr>
                <w:rFonts w:hint="eastAsia" w:ascii="宋体" w:hAnsi="宋体" w:eastAsia="宋体" w:cs="宋体"/>
                <w:sz w:val="21"/>
                <w:szCs w:val="21"/>
                <w:highlight w:val="none"/>
                <w:vertAlign w:val="baseline"/>
                <w:lang w:val="en-US" w:eastAsia="zh-CN"/>
              </w:rPr>
            </w:pPr>
          </w:p>
          <w:p w14:paraId="29B3121B">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drawing>
                <wp:inline distT="0" distB="0" distL="114300" distR="114300">
                  <wp:extent cx="2804160" cy="2924810"/>
                  <wp:effectExtent l="0" t="0" r="15240" b="889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2804160" cy="2924810"/>
                          </a:xfrm>
                          <a:prstGeom prst="rect">
                            <a:avLst/>
                          </a:prstGeom>
                          <a:noFill/>
                          <a:ln>
                            <a:noFill/>
                          </a:ln>
                        </pic:spPr>
                      </pic:pic>
                    </a:graphicData>
                  </a:graphic>
                </wp:inline>
              </w:drawing>
            </w:r>
          </w:p>
          <w:p w14:paraId="10560405">
            <w:pPr>
              <w:pStyle w:val="9"/>
              <w:rPr>
                <w:rFonts w:hint="eastAsia" w:ascii="宋体" w:hAnsi="宋体" w:eastAsia="宋体" w:cs="宋体"/>
                <w:color w:val="auto"/>
                <w:kern w:val="0"/>
                <w:sz w:val="21"/>
                <w:szCs w:val="21"/>
                <w:highlight w:val="none"/>
                <w:lang w:eastAsia="zh-CN"/>
              </w:rPr>
            </w:pPr>
            <w:r>
              <w:rPr>
                <w:rFonts w:hint="eastAsia" w:ascii="宋体" w:hAnsi="宋体" w:eastAsia="宋体" w:cs="宋体"/>
                <w:spacing w:val="6"/>
                <w:sz w:val="21"/>
                <w:szCs w:val="21"/>
                <w:highlight w:val="none"/>
              </w:rPr>
              <w:t>苯丙氨酸≤150</w:t>
            </w:r>
            <w:r>
              <w:rPr>
                <w:rFonts w:hint="eastAsia" w:ascii="宋体" w:hAnsi="宋体" w:eastAsia="宋体" w:cs="宋体"/>
                <w:sz w:val="21"/>
                <w:szCs w:val="21"/>
                <w:highlight w:val="none"/>
              </w:rPr>
              <w:t>mg</w:t>
            </w:r>
            <w:r>
              <w:rPr>
                <w:rFonts w:hint="eastAsia" w:ascii="宋体" w:hAnsi="宋体" w:eastAsia="宋体" w:cs="宋体"/>
                <w:spacing w:val="6"/>
                <w:sz w:val="21"/>
                <w:szCs w:val="21"/>
                <w:highlight w:val="none"/>
              </w:rPr>
              <w:t>/100g</w:t>
            </w:r>
          </w:p>
        </w:tc>
        <w:tc>
          <w:tcPr>
            <w:tcW w:w="765" w:type="dxa"/>
            <w:tcBorders>
              <w:top w:val="single" w:color="auto" w:sz="4" w:space="0"/>
              <w:left w:val="single" w:color="auto" w:sz="4" w:space="0"/>
              <w:bottom w:val="single" w:color="auto" w:sz="4" w:space="0"/>
              <w:right w:val="single" w:color="auto" w:sz="4" w:space="0"/>
            </w:tcBorders>
            <w:vAlign w:val="center"/>
          </w:tcPr>
          <w:p w14:paraId="6CCC07F8">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桶</w:t>
            </w:r>
          </w:p>
        </w:tc>
        <w:tc>
          <w:tcPr>
            <w:tcW w:w="675" w:type="dxa"/>
            <w:tcBorders>
              <w:top w:val="single" w:color="auto" w:sz="4" w:space="0"/>
              <w:left w:val="single" w:color="auto" w:sz="4" w:space="0"/>
              <w:bottom w:val="single" w:color="auto" w:sz="4" w:space="0"/>
              <w:right w:val="single" w:color="auto" w:sz="4" w:space="0"/>
            </w:tcBorders>
            <w:vAlign w:val="center"/>
          </w:tcPr>
          <w:p w14:paraId="051662B9">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411</w:t>
            </w:r>
          </w:p>
        </w:tc>
        <w:tc>
          <w:tcPr>
            <w:tcW w:w="885" w:type="dxa"/>
            <w:tcBorders>
              <w:top w:val="single" w:color="auto" w:sz="4" w:space="0"/>
              <w:left w:val="single" w:color="auto" w:sz="4" w:space="0"/>
              <w:bottom w:val="single" w:color="auto" w:sz="4" w:space="0"/>
              <w:right w:val="single" w:color="auto" w:sz="4" w:space="0"/>
            </w:tcBorders>
            <w:vAlign w:val="center"/>
          </w:tcPr>
          <w:p w14:paraId="747B43C2">
            <w:pPr>
              <w:jc w:val="center"/>
              <w:rPr>
                <w:rFonts w:hint="eastAsia" w:ascii="宋体" w:hAnsi="宋体" w:eastAsia="宋体" w:cs="宋体"/>
                <w:kern w:val="2"/>
                <w:sz w:val="21"/>
                <w:szCs w:val="21"/>
                <w:highlight w:val="none"/>
                <w:vertAlign w:val="baseline"/>
                <w:lang w:val="en-US" w:eastAsia="zh-CN" w:bidi="ar-SA"/>
                <w14:ligatures w14:val="standardContextual"/>
              </w:rPr>
            </w:pPr>
            <w:r>
              <w:rPr>
                <w:rFonts w:hint="eastAsia" w:ascii="宋体" w:hAnsi="宋体" w:eastAsia="宋体" w:cs="宋体"/>
                <w:kern w:val="2"/>
                <w:sz w:val="21"/>
                <w:szCs w:val="21"/>
                <w:highlight w:val="none"/>
                <w:vertAlign w:val="baseline"/>
                <w:lang w:val="en-US" w:eastAsia="zh-CN" w:bidi="ar-SA"/>
                <w14:ligatures w14:val="standardContextual"/>
              </w:rPr>
              <w:t>232</w:t>
            </w:r>
          </w:p>
        </w:tc>
        <w:tc>
          <w:tcPr>
            <w:tcW w:w="847" w:type="dxa"/>
            <w:tcBorders>
              <w:top w:val="single" w:color="auto" w:sz="4" w:space="0"/>
              <w:left w:val="single" w:color="auto" w:sz="4" w:space="0"/>
              <w:bottom w:val="single" w:color="auto" w:sz="4" w:space="0"/>
              <w:right w:val="single" w:color="auto" w:sz="4" w:space="0"/>
            </w:tcBorders>
            <w:vAlign w:val="center"/>
          </w:tcPr>
          <w:p w14:paraId="2BAB804E">
            <w:pPr>
              <w:pStyle w:val="9"/>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77.33</w:t>
            </w:r>
          </w:p>
        </w:tc>
      </w:tr>
      <w:tr w14:paraId="2E80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tcPr>
          <w:p w14:paraId="2D9FB9BB">
            <w:pPr>
              <w:pageBreakBefore w:val="0"/>
              <w:widowControl/>
              <w:kinsoku/>
              <w:overflowPunct/>
              <w:topLinePunct w:val="0"/>
              <w:bidi w:val="0"/>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5FC30EA3">
            <w:pPr>
              <w:pageBreakBefore w:val="0"/>
              <w:widowControl/>
              <w:numPr>
                <w:ilvl w:val="0"/>
                <w:numId w:val="0"/>
              </w:numPr>
              <w:kinsoku/>
              <w:overflowPunct/>
              <w:topLinePunct w:val="0"/>
              <w:bidi w:val="0"/>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文件必须标明所投货物的品牌与参数，保证原厂正品供货。</w:t>
            </w:r>
          </w:p>
          <w:p w14:paraId="01E2B0E0">
            <w:pPr>
              <w:pageBreakBefore w:val="0"/>
              <w:widowControl/>
              <w:numPr>
                <w:ilvl w:val="0"/>
                <w:numId w:val="0"/>
              </w:numPr>
              <w:kinsoku/>
              <w:overflowPunct/>
              <w:topLinePunct w:val="0"/>
              <w:bidi w:val="0"/>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highlight w:val="none"/>
                <w:lang w:val="en-US" w:eastAsia="zh-CN"/>
              </w:rPr>
              <w:t>响应人所投各单项产品的报价不得超过单价限价，否则按无效</w:t>
            </w:r>
            <w:r>
              <w:rPr>
                <w:rFonts w:hint="eastAsia" w:ascii="宋体" w:hAnsi="宋体" w:cs="宋体"/>
                <w:color w:val="auto"/>
                <w:highlight w:val="none"/>
                <w:lang w:val="en-US" w:eastAsia="zh-CN"/>
              </w:rPr>
              <w:t>标</w:t>
            </w:r>
            <w:r>
              <w:rPr>
                <w:rFonts w:hint="eastAsia" w:ascii="宋体" w:hAnsi="宋体" w:eastAsia="宋体" w:cs="宋体"/>
                <w:color w:val="auto"/>
                <w:highlight w:val="none"/>
                <w:lang w:val="en-US" w:eastAsia="zh-CN"/>
              </w:rPr>
              <w:t>处理。</w:t>
            </w:r>
          </w:p>
          <w:p w14:paraId="6999C109">
            <w:pPr>
              <w:pageBreakBefore w:val="0"/>
              <w:widowControl/>
              <w:kinsoku/>
              <w:overflowPunct/>
              <w:topLinePunct w:val="0"/>
              <w:bidi w:val="0"/>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3、所有技术参数及要求采购人验收时将逐条核对，如发现与实际情况不符、虚假响应等，</w:t>
            </w:r>
            <w:r>
              <w:rPr>
                <w:rFonts w:hint="eastAsia" w:ascii="宋体" w:hAnsi="宋体" w:eastAsia="宋体" w:cs="宋体"/>
                <w:strike w:val="0"/>
                <w:dstrike w:val="0"/>
                <w:color w:val="auto"/>
                <w:sz w:val="21"/>
                <w:szCs w:val="21"/>
                <w:highlight w:val="none"/>
                <w:lang w:val="en-US" w:eastAsia="zh-CN"/>
              </w:rPr>
              <w:t>采购人有权报监管部门并追究违约责任。</w:t>
            </w:r>
          </w:p>
          <w:p w14:paraId="03F0537B">
            <w:pPr>
              <w:pageBreakBefore w:val="0"/>
              <w:widowControl/>
              <w:kinsoku/>
              <w:overflowPunct/>
              <w:topLinePunct w:val="0"/>
              <w:bidi w:val="0"/>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、响应人应按照谈判文件要求提供证明材料。若响应人提供了竞争性谈判文件未要求的证明材料，谈判小组将不予评审。</w:t>
            </w:r>
          </w:p>
          <w:p w14:paraId="24610BFE">
            <w:pPr>
              <w:pageBreakBefore w:val="0"/>
              <w:widowControl/>
              <w:kinsoku/>
              <w:overflowPunct/>
              <w:topLinePunct w:val="0"/>
              <w:bidi w:val="0"/>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color w:val="auto"/>
                <w:kern w:val="2"/>
                <w:sz w:val="21"/>
                <w:szCs w:val="21"/>
                <w:highlight w:val="none"/>
                <w:shd w:val="clear"/>
                <w:lang w:val="en-US" w:eastAsia="zh-CN" w:bidi="ar-SA"/>
              </w:rPr>
              <w:t>5</w:t>
            </w:r>
            <w:r>
              <w:rPr>
                <w:rFonts w:hint="eastAsia" w:ascii="宋体" w:hAnsi="宋体" w:eastAsia="宋体" w:cs="宋体"/>
                <w:b w:val="0"/>
                <w:color w:val="auto"/>
                <w:kern w:val="2"/>
                <w:sz w:val="21"/>
                <w:szCs w:val="21"/>
                <w:highlight w:val="none"/>
                <w:shd w:val="clear"/>
                <w:lang w:val="en-US" w:eastAsia="zh-CN" w:bidi="ar-SA"/>
              </w:rPr>
              <w:t>、响应人提供的证明材料须清晰地反映评审内容，如因材料模糊不清，导致谈判小组无法辨认的，谈</w:t>
            </w:r>
            <w:r>
              <w:rPr>
                <w:rFonts w:hint="eastAsia" w:ascii="宋体" w:hAnsi="宋体" w:eastAsia="宋体" w:cs="宋体"/>
                <w:color w:val="auto"/>
                <w:sz w:val="21"/>
                <w:szCs w:val="21"/>
                <w:highlight w:val="none"/>
                <w:lang w:val="en-US" w:eastAsia="zh-CN"/>
              </w:rPr>
              <w:t>判小组可以不予认可，一切后果由响应人自行承担。</w:t>
            </w:r>
          </w:p>
          <w:p w14:paraId="14C5B11A">
            <w:pPr>
              <w:pageBreakBefore w:val="0"/>
              <w:widowControl/>
              <w:kinsoku/>
              <w:overflowPunct/>
              <w:topLinePunct w:val="0"/>
              <w:bidi w:val="0"/>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、注：1）产品型号规格不限定与上述要求，供应商可自行提供型号规格，供货量不得少于采购总量。</w:t>
            </w:r>
            <w:r>
              <w:rPr>
                <w:rFonts w:hint="eastAsia" w:ascii="宋体" w:hAnsi="宋体" w:cs="宋体"/>
                <w:b/>
                <w:bCs/>
                <w:color w:val="auto"/>
                <w:sz w:val="21"/>
                <w:szCs w:val="21"/>
                <w:highlight w:val="none"/>
                <w:lang w:val="en-US" w:eastAsia="zh-CN"/>
              </w:rPr>
              <w:t>响应时可换算成每100克的单价，响应人报价时若采用别的型号规格，不得超过每100克的单价限价。</w:t>
            </w:r>
            <w:r>
              <w:rPr>
                <w:rFonts w:hint="eastAsia" w:ascii="宋体" w:hAnsi="宋体" w:eastAsia="宋体" w:cs="宋体"/>
                <w:b/>
                <w:bCs/>
                <w:color w:val="auto"/>
                <w:sz w:val="21"/>
                <w:szCs w:val="21"/>
                <w:highlight w:val="none"/>
                <w:lang w:val="en-US" w:eastAsia="zh-CN"/>
              </w:rPr>
              <w:t xml:space="preserve"> </w:t>
            </w:r>
          </w:p>
          <w:p w14:paraId="3167849E">
            <w:pPr>
              <w:pageBreakBefore w:val="0"/>
              <w:widowControl/>
              <w:kinsoku/>
              <w:overflowPunct/>
              <w:topLinePunct w:val="0"/>
              <w:bidi w:val="0"/>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2）为满足婴幼儿的食用习惯，避免食品浪费，供应商提供型号规格不得超出上述规格型号的150%每份。 </w:t>
            </w:r>
          </w:p>
          <w:p w14:paraId="5CA0D994">
            <w:pPr>
              <w:pageBreakBefore w:val="0"/>
              <w:widowControl/>
              <w:kinsoku/>
              <w:overflowPunct/>
              <w:topLinePunct w:val="0"/>
              <w:bidi w:val="0"/>
              <w:snapToGrid/>
              <w:spacing w:line="440" w:lineRule="exact"/>
              <w:jc w:val="left"/>
              <w:textAlignment w:val="auto"/>
              <w:rPr>
                <w:rFonts w:hint="default"/>
                <w:highlight w:val="none"/>
                <w:lang w:val="en-US"/>
              </w:rPr>
            </w:pPr>
            <w:r>
              <w:rPr>
                <w:rFonts w:hint="eastAsia" w:ascii="宋体" w:hAnsi="宋体" w:eastAsia="宋体" w:cs="宋体"/>
                <w:b/>
                <w:bCs/>
                <w:color w:val="auto"/>
                <w:sz w:val="21"/>
                <w:szCs w:val="21"/>
                <w:highlight w:val="none"/>
                <w:lang w:val="en-US" w:eastAsia="zh-CN"/>
              </w:rPr>
              <w:t>3）为满足婴幼儿营养成分所需，供应商提供产品成分不得低于采购需求参数要求。</w:t>
            </w:r>
            <w:r>
              <w:rPr>
                <w:rFonts w:hint="eastAsia" w:ascii="宋体" w:hAnsi="宋体" w:cs="宋体"/>
                <w:b/>
                <w:bCs/>
                <w:color w:val="auto"/>
                <w:sz w:val="21"/>
                <w:szCs w:val="21"/>
                <w:highlight w:val="none"/>
                <w:lang w:val="en-US" w:eastAsia="zh-CN"/>
              </w:rPr>
              <w:t>响应时</w:t>
            </w:r>
            <w:r>
              <w:rPr>
                <w:rFonts w:hint="eastAsia" w:ascii="宋体" w:hAnsi="宋体" w:eastAsia="宋体" w:cs="宋体"/>
                <w:b/>
                <w:bCs/>
                <w:color w:val="auto"/>
                <w:sz w:val="21"/>
                <w:szCs w:val="21"/>
                <w:highlight w:val="none"/>
                <w:lang w:val="en-US" w:eastAsia="zh-CN"/>
              </w:rPr>
              <w:t>供应商提供</w:t>
            </w:r>
            <w:r>
              <w:rPr>
                <w:rFonts w:hint="eastAsia" w:ascii="宋体" w:hAnsi="宋体" w:cs="宋体"/>
                <w:b/>
                <w:bCs/>
                <w:color w:val="auto"/>
                <w:sz w:val="21"/>
                <w:szCs w:val="21"/>
                <w:highlight w:val="none"/>
                <w:lang w:val="en-US" w:eastAsia="zh-CN"/>
              </w:rPr>
              <w:t>相关证明材料证明配料参数</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可以是</w:t>
            </w:r>
            <w:r>
              <w:rPr>
                <w:rFonts w:hint="eastAsia" w:ascii="宋体" w:hAnsi="宋体" w:eastAsia="宋体" w:cs="宋体"/>
                <w:b/>
                <w:bCs/>
                <w:color w:val="auto"/>
                <w:sz w:val="21"/>
                <w:szCs w:val="21"/>
                <w:highlight w:val="none"/>
                <w:lang w:val="en-US" w:eastAsia="zh-CN"/>
              </w:rPr>
              <w:t>产品真实包装</w:t>
            </w:r>
            <w:r>
              <w:rPr>
                <w:rFonts w:hint="eastAsia" w:ascii="宋体" w:hAnsi="宋体" w:cs="宋体"/>
                <w:b/>
                <w:bCs/>
                <w:color w:val="auto"/>
                <w:sz w:val="21"/>
                <w:szCs w:val="21"/>
                <w:highlight w:val="none"/>
                <w:lang w:val="en-US" w:eastAsia="zh-CN"/>
              </w:rPr>
              <w:t>图片</w:t>
            </w:r>
            <w:r>
              <w:rPr>
                <w:rFonts w:hint="eastAsia" w:ascii="宋体" w:hAnsi="宋体" w:eastAsia="宋体" w:cs="宋体"/>
                <w:b/>
                <w:bCs/>
                <w:color w:val="auto"/>
                <w:sz w:val="21"/>
                <w:szCs w:val="21"/>
                <w:highlight w:val="none"/>
                <w:lang w:val="en-US" w:eastAsia="zh-CN"/>
              </w:rPr>
              <w:t>或第三方检测</w:t>
            </w:r>
            <w:r>
              <w:rPr>
                <w:rFonts w:hint="eastAsia" w:ascii="宋体" w:hAnsi="宋体" w:cs="宋体"/>
                <w:b/>
                <w:bCs/>
                <w:color w:val="auto"/>
                <w:sz w:val="21"/>
                <w:szCs w:val="21"/>
                <w:highlight w:val="none"/>
                <w:lang w:val="en-US" w:eastAsia="zh-CN"/>
              </w:rPr>
              <w:t>报告</w:t>
            </w:r>
            <w:r>
              <w:rPr>
                <w:rFonts w:hint="eastAsia" w:ascii="宋体" w:hAnsi="宋体" w:eastAsia="宋体" w:cs="宋体"/>
                <w:b/>
                <w:bCs/>
                <w:color w:val="auto"/>
                <w:sz w:val="21"/>
                <w:szCs w:val="21"/>
                <w:highlight w:val="none"/>
                <w:lang w:val="en-US" w:eastAsia="zh-CN"/>
              </w:rPr>
              <w:t>证明。</w:t>
            </w:r>
          </w:p>
        </w:tc>
      </w:tr>
    </w:tbl>
    <w:p w14:paraId="12BFB303">
      <w:pPr>
        <w:pStyle w:val="4"/>
        <w:tabs>
          <w:tab w:val="left" w:pos="2730"/>
        </w:tabs>
        <w:ind w:firstLine="472" w:firstLineChars="196"/>
        <w:rPr>
          <w:color w:val="auto"/>
          <w:highlight w:val="none"/>
        </w:rPr>
      </w:pPr>
      <w:r>
        <w:rPr>
          <w:rFonts w:hint="eastAsia"/>
          <w:color w:val="auto"/>
          <w:highlight w:val="none"/>
        </w:rPr>
        <w:t>三、人员培训要求</w:t>
      </w:r>
    </w:p>
    <w:p w14:paraId="2CCF6DC3">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w:t>
      </w:r>
      <w:r>
        <w:rPr>
          <w:rFonts w:hint="eastAsia" w:ascii="宋体" w:hAnsi="宋体"/>
          <w:color w:val="auto"/>
          <w:szCs w:val="21"/>
          <w:highlight w:val="none"/>
          <w:lang w:val="en-US" w:eastAsia="zh-CN"/>
        </w:rPr>
        <w:t>成交人</w:t>
      </w:r>
      <w:r>
        <w:rPr>
          <w:rFonts w:hint="eastAsia" w:ascii="宋体" w:hAnsi="宋体"/>
          <w:color w:val="auto"/>
          <w:szCs w:val="21"/>
          <w:highlight w:val="none"/>
        </w:rPr>
        <w:t>应对采购人的相关人员进行免费现场培训。培训内容包括基本操作、保养维修、常见故障及解决办法等。</w:t>
      </w:r>
    </w:p>
    <w:p w14:paraId="4FC8308D">
      <w:pPr>
        <w:pStyle w:val="4"/>
        <w:pageBreakBefore w:val="0"/>
        <w:tabs>
          <w:tab w:val="left" w:pos="2730"/>
        </w:tabs>
        <w:kinsoku/>
        <w:overflowPunct/>
        <w:topLinePunct w:val="0"/>
        <w:bidi w:val="0"/>
        <w:snapToGrid/>
        <w:spacing w:line="440" w:lineRule="exact"/>
        <w:ind w:firstLine="472" w:firstLineChars="196"/>
        <w:textAlignment w:val="auto"/>
        <w:rPr>
          <w:color w:val="auto"/>
          <w:highlight w:val="none"/>
        </w:rPr>
      </w:pPr>
      <w:r>
        <w:rPr>
          <w:rFonts w:hint="eastAsia"/>
          <w:color w:val="auto"/>
          <w:highlight w:val="none"/>
        </w:rPr>
        <w:t>四、货物质量及售后服务要求</w:t>
      </w:r>
    </w:p>
    <w:p w14:paraId="5E10F43D">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w:t>
      </w:r>
      <w:r>
        <w:rPr>
          <w:rFonts w:hint="eastAsia" w:ascii="宋体" w:hAnsi="宋体"/>
          <w:color w:val="auto"/>
          <w:szCs w:val="21"/>
          <w:highlight w:val="none"/>
          <w:lang w:val="en-US" w:eastAsia="zh-CN"/>
        </w:rPr>
        <w:t>成交</w:t>
      </w:r>
      <w:r>
        <w:rPr>
          <w:rFonts w:hint="eastAsia" w:ascii="宋体" w:hAnsi="宋体"/>
          <w:color w:val="auto"/>
          <w:szCs w:val="21"/>
          <w:highlight w:val="none"/>
        </w:rPr>
        <w:t>人提供的货物必须是全新、原装、合格正品，完全符合国家规定的质量标准和厂方的标准。货物完好，配件齐全。</w:t>
      </w:r>
    </w:p>
    <w:p w14:paraId="610F5816">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2、保修及售后服务：依据商品的保修条款及售后服务条款，提供原厂质保，质保期按照国家规定，且不低于所供品牌向用户承诺的质保期限，</w:t>
      </w:r>
      <w:r>
        <w:rPr>
          <w:rFonts w:hint="eastAsia" w:ascii="宋体" w:hAnsi="宋体"/>
          <w:color w:val="auto"/>
          <w:szCs w:val="21"/>
          <w:highlight w:val="none"/>
          <w:lang w:eastAsia="zh-CN"/>
        </w:rPr>
        <w:t>谈判文件</w:t>
      </w:r>
      <w:r>
        <w:rPr>
          <w:rFonts w:hint="eastAsia" w:ascii="宋体" w:hAnsi="宋体"/>
          <w:color w:val="auto"/>
          <w:szCs w:val="21"/>
          <w:highlight w:val="none"/>
        </w:rPr>
        <w:t>另有约定的从其约定。质保期从货物验收合格后算起。</w:t>
      </w:r>
    </w:p>
    <w:p w14:paraId="5AE109EB">
      <w:pPr>
        <w:pStyle w:val="4"/>
        <w:pageBreakBefore w:val="0"/>
        <w:tabs>
          <w:tab w:val="left" w:pos="2730"/>
        </w:tabs>
        <w:kinsoku/>
        <w:overflowPunct/>
        <w:topLinePunct w:val="0"/>
        <w:bidi w:val="0"/>
        <w:snapToGrid/>
        <w:spacing w:line="440" w:lineRule="exact"/>
        <w:ind w:firstLine="472" w:firstLineChars="196"/>
        <w:textAlignment w:val="auto"/>
        <w:rPr>
          <w:color w:val="auto"/>
          <w:highlight w:val="none"/>
        </w:rPr>
      </w:pPr>
      <w:r>
        <w:rPr>
          <w:rFonts w:hint="eastAsia"/>
          <w:color w:val="auto"/>
          <w:highlight w:val="none"/>
        </w:rPr>
        <w:t xml:space="preserve">五、验收     </w:t>
      </w:r>
    </w:p>
    <w:p w14:paraId="7D7C68B0">
      <w:pPr>
        <w:pageBreakBefore w:val="0"/>
        <w:widowControl/>
        <w:kinsoku/>
        <w:overflowPunct/>
        <w:topLinePunct w:val="0"/>
        <w:bidi w:val="0"/>
        <w:snapToGrid/>
        <w:spacing w:line="440" w:lineRule="exact"/>
        <w:ind w:firstLine="405"/>
        <w:jc w:val="left"/>
        <w:textAlignment w:val="auto"/>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成交</w:t>
      </w:r>
      <w:r>
        <w:rPr>
          <w:rFonts w:hint="eastAsia" w:ascii="宋体" w:hAnsi="宋体"/>
          <w:color w:val="auto"/>
          <w:szCs w:val="21"/>
          <w:highlight w:val="none"/>
        </w:rPr>
        <w:t>人和采购人双方共同实施验收工作，结果和验收报告经双方确认后生</w:t>
      </w:r>
      <w:r>
        <w:rPr>
          <w:rFonts w:hint="eastAsia" w:ascii="宋体" w:hAnsi="宋体"/>
          <w:color w:val="auto"/>
          <w:szCs w:val="21"/>
          <w:highlight w:val="none"/>
          <w:lang w:eastAsia="zh-CN"/>
        </w:rPr>
        <w:t>效。</w:t>
      </w:r>
      <w:bookmarkEnd w:id="3"/>
      <w:bookmarkEnd w:id="4"/>
      <w:bookmarkStart w:id="5" w:name="_GoBack"/>
      <w:bookmarkEnd w:id="5"/>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667D">
    <w:pPr>
      <w:pStyle w:val="6"/>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84C95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2284C95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9F4F">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719574CB"/>
    <w:rsid w:val="7195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2024-08-13T02:51:00Z</dcterms:created>
  <dc:creator>叶叶叶</dc:creator>
  <cp:lastModifiedBy>叶叶叶</cp:lastModifiedBy>
  <dcterms:modified xsi:type="dcterms:W3CDTF">2024-08-13T02:51:45Z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4DE4853DD5704148839494594DC6931F_11</vt:lpwstr>
  </property>
</Properties>
</file>