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highlight w:val="none"/>
        </w:rPr>
      </w:pPr>
      <w:r>
        <w:rPr>
          <w:rFonts w:hint="eastAsia"/>
          <w:highlight w:val="none"/>
        </w:rPr>
        <w:t>货物需求及技术要求</w:t>
      </w:r>
    </w:p>
    <w:p>
      <w:pPr>
        <w:spacing w:line="360" w:lineRule="auto"/>
        <w:rPr>
          <w:rFonts w:ascii="宋体" w:hAnsi="宋体"/>
          <w:b/>
          <w:bCs/>
          <w:kern w:val="0"/>
          <w:szCs w:val="21"/>
          <w:highlight w:val="none"/>
        </w:rPr>
      </w:pPr>
      <w:r>
        <w:rPr>
          <w:rFonts w:hint="eastAsia" w:ascii="宋体" w:hAnsi="宋体"/>
          <w:b/>
          <w:bCs/>
          <w:kern w:val="0"/>
          <w:szCs w:val="21"/>
          <w:highlight w:val="none"/>
        </w:rPr>
        <w:t>一、项目概况</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（一）项目实施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1、人员组织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（1）本次招标的项目，供应商必须对实施工作作出详尽缜密的组织实施方案，并在响应文件方案中列出。</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（2）招投标双方需共同组建项目建设小组，总体人员配备方案应科学、合理。</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（二）验收交付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在本期项目交付使用后，供应商需要提供明确的交付清单。交付的内容包括以下部分：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1、可运行的系统；</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2、所投产品软著复印件、公司营业执照复印件、授权使用文件原件。</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3、系统使用手册；</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4、系统培训资料等。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（三）项目培训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1、供应商派出的培训教员应具有丰富的同类课程的教学经验和应用经验；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2、供应商必须按合同规定安排的培训时间和培训名额为所有培训人员进行培训，保证系统的顺利使用。</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3、供应商必须为所有被培训人员提供培训用文字资料和讲义等相关材料，如果培训地点在外地，供应商还应为所有被培训人员提供食宿，所产生的费用由供应商承担。</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4、培训方式需包括：课堂讲解、上机操作和实际工作的参与。</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（四）售后服务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信息系统售后维护服务和技术支持工作应有足够保障。考虑使用者利益的技术支持及售后服务模式。供应商关于售后服务的描述应具体包括如下几方面：</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1、运行保障能力 </w:t>
      </w:r>
    </w:p>
    <w:p>
      <w:pPr>
        <w:spacing w:line="360" w:lineRule="auto"/>
        <w:ind w:firstLine="422" w:firstLineChars="200"/>
        <w:rPr>
          <w:rFonts w:ascii="宋体" w:hAnsi="宋体"/>
          <w:kern w:val="0"/>
          <w:szCs w:val="21"/>
          <w:highlight w:val="none"/>
        </w:rPr>
      </w:pPr>
      <w:r>
        <w:rPr>
          <w:rFonts w:hint="eastAsia" w:ascii="宋体" w:hAnsi="宋体"/>
          <w:b/>
          <w:bCs/>
          <w:kern w:val="0"/>
          <w:szCs w:val="21"/>
          <w:highlight w:val="none"/>
        </w:rPr>
        <w:t>为确保日后整体系统安全、高效的运行，供应商须承诺在异常情况发生时响应时间＜5min，故障排除时间＜2h。</w:t>
      </w:r>
      <w:r>
        <w:rPr>
          <w:rFonts w:hint="eastAsia" w:ascii="宋体" w:hAnsi="宋体"/>
          <w:kern w:val="0"/>
          <w:szCs w:val="21"/>
          <w:highlight w:val="none"/>
        </w:rPr>
        <w:t xml:space="preserve">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2、应用软件服务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方案中应对服务的范围和内容进行详细阐述，并至少包括以下内容：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（1）缺陷管理：针对本次招标的各类系统中存在的 bug、缺陷，不论是否在保期内、外，供应商均应持续提供修正与消缺服务。</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（2）应急故障处理：系统运行环境出现故障或意外情况导致系统不能正常运行时，供应商响应的情况描述，包括针对不同故障级别的响应时间和响应内容。</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（3）系统升级：提供应用平台的软件补丁版本的升级服务。</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（4）需求变更：对于本中心业务流程的变化、性能要求提升导致的部署结构变化，供应商应提供的变更支持。</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（5）运行支持：对系统运行过程中，用户的产生问题提供解答和问题解决方案并跟踪解决。</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（五）质保服务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1、供应商必须确保本次招标的系统安全稳定的运行，对本次采购的所有硬件以及软件提供3年免费质保服务，终身品质保证，自验收合格日期计算；免费维护期结束后，运营维护费不得高于</w:t>
      </w:r>
      <w:r>
        <w:rPr>
          <w:rFonts w:hint="eastAsia" w:ascii="宋体" w:hAnsi="宋体"/>
          <w:kern w:val="0"/>
          <w:szCs w:val="21"/>
          <w:highlight w:val="none"/>
          <w:lang w:val="en-US" w:eastAsia="zh-CN"/>
        </w:rPr>
        <w:t>4000元/年</w:t>
      </w:r>
      <w:r>
        <w:rPr>
          <w:rFonts w:hint="eastAsia" w:ascii="宋体" w:hAnsi="宋体"/>
          <w:kern w:val="0"/>
          <w:szCs w:val="21"/>
          <w:highlight w:val="none"/>
        </w:rPr>
        <w:t>。</w:t>
      </w:r>
    </w:p>
    <w:p>
      <w:pPr>
        <w:spacing w:line="360" w:lineRule="auto"/>
        <w:ind w:firstLine="420" w:firstLineChars="200"/>
        <w:rPr>
          <w:rFonts w:hint="eastAsia" w:ascii="宋体" w:hAnsi="宋体" w:eastAsia="宋体"/>
          <w:kern w:val="0"/>
          <w:szCs w:val="21"/>
          <w:highlight w:val="none"/>
          <w:lang w:val="en-US" w:eastAsia="zh-CN"/>
        </w:rPr>
      </w:pPr>
      <w:r>
        <w:rPr>
          <w:rFonts w:hint="eastAsia" w:ascii="宋体" w:hAnsi="宋体"/>
          <w:kern w:val="0"/>
          <w:szCs w:val="21"/>
          <w:highlight w:val="none"/>
        </w:rPr>
        <w:t>2、质保内容：免费质保服务，供应商需要对产品自身质量缺陷导致的产品功能损坏，无法正常使用等问题进行免费维修或者更换服务</w:t>
      </w:r>
      <w:r>
        <w:rPr>
          <w:rFonts w:hint="eastAsia" w:ascii="宋体" w:hAnsi="宋体"/>
          <w:kern w:val="0"/>
          <w:szCs w:val="21"/>
          <w:highlight w:val="none"/>
          <w:lang w:eastAsia="zh-CN"/>
        </w:rPr>
        <w:t>。</w:t>
      </w:r>
    </w:p>
    <w:p>
      <w:pPr>
        <w:spacing w:line="360" w:lineRule="auto"/>
        <w:ind w:firstLine="422" w:firstLineChars="200"/>
        <w:rPr>
          <w:rFonts w:ascii="宋体" w:hAnsi="宋体"/>
          <w:b/>
          <w:bCs/>
          <w:kern w:val="0"/>
          <w:szCs w:val="21"/>
          <w:highlight w:val="none"/>
        </w:rPr>
      </w:pPr>
      <w:r>
        <w:rPr>
          <w:rFonts w:hint="eastAsia" w:ascii="宋体" w:hAnsi="宋体"/>
          <w:b/>
          <w:bCs/>
          <w:kern w:val="0"/>
          <w:szCs w:val="21"/>
          <w:highlight w:val="none"/>
        </w:rPr>
        <w:t xml:space="preserve">3、运营维护服务内容：运营维护服务期内（无论免费运维期或有偿运维期），供应商需根据采购人需求对系统功能进行修改，供应商需要定期对软硬件进行现场维护（一年不少于4次），同时，需要免费向采购人推荐优化后的系统（即系统升级版），采购人可选择使用或者不使用，供应商需在响应文件中针对本条进行承诺并出具承诺函，否则将导致投标无效。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 xml:space="preserve">（六）其他事项 </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1、供应商应开放本项目中系统的全部数据接口，无偿与第三方软件对接。</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2、供应商需与我单位签订保密协议，保证系统运行后的数据安全，同时，系统使用过程中产生的所有数据应存放在采购方服务器中。</w:t>
      </w:r>
    </w:p>
    <w:p>
      <w:pPr>
        <w:spacing w:line="360" w:lineRule="auto"/>
        <w:rPr>
          <w:rFonts w:ascii="宋体" w:hAnsi="宋体"/>
          <w:kern w:val="0"/>
          <w:szCs w:val="21"/>
          <w:highlight w:val="none"/>
        </w:rPr>
      </w:pPr>
      <w:r>
        <w:rPr>
          <w:rFonts w:hint="eastAsia" w:ascii="宋体" w:hAnsi="宋体"/>
          <w:b/>
          <w:bCs/>
          <w:kern w:val="0"/>
          <w:szCs w:val="21"/>
          <w:highlight w:val="none"/>
        </w:rPr>
        <w:t>二、货物需求一览表</w:t>
      </w:r>
    </w:p>
    <w:tbl>
      <w:tblPr>
        <w:tblStyle w:val="11"/>
        <w:tblW w:w="9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8"/>
        <w:gridCol w:w="1176"/>
        <w:gridCol w:w="6984"/>
        <w:gridCol w:w="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558" w:type="dxa"/>
            <w:vAlign w:val="center"/>
          </w:tcPr>
          <w:p>
            <w:pPr>
              <w:jc w:val="center"/>
              <w:rPr>
                <w:rFonts w:asciiTheme="minorEastAsia" w:hAnsiTheme="minorEastAsia" w:eastAsiaTheme="minorEastAsia" w:cstheme="minorEastAsia"/>
                <w:b/>
                <w:color w:val="000000"/>
                <w:sz w:val="18"/>
                <w:szCs w:val="18"/>
                <w:highlight w:val="none"/>
              </w:rPr>
            </w:pPr>
            <w:r>
              <w:rPr>
                <w:rFonts w:hint="eastAsia" w:asciiTheme="minorEastAsia" w:hAnsiTheme="minorEastAsia" w:eastAsiaTheme="minorEastAsia" w:cstheme="minorEastAsia"/>
                <w:b/>
                <w:color w:val="000000"/>
                <w:sz w:val="18"/>
                <w:szCs w:val="18"/>
                <w:highlight w:val="none"/>
              </w:rPr>
              <w:t>序号</w:t>
            </w:r>
          </w:p>
        </w:tc>
        <w:tc>
          <w:tcPr>
            <w:tcW w:w="1176" w:type="dxa"/>
            <w:vAlign w:val="center"/>
          </w:tcPr>
          <w:p>
            <w:pPr>
              <w:jc w:val="center"/>
              <w:rPr>
                <w:rFonts w:asciiTheme="minorEastAsia" w:hAnsiTheme="minorEastAsia" w:eastAsiaTheme="minorEastAsia" w:cstheme="minorEastAsia"/>
                <w:b/>
                <w:color w:val="000000"/>
                <w:sz w:val="18"/>
                <w:szCs w:val="18"/>
                <w:highlight w:val="none"/>
              </w:rPr>
            </w:pPr>
            <w:r>
              <w:rPr>
                <w:rFonts w:hint="eastAsia" w:asciiTheme="minorEastAsia" w:hAnsiTheme="minorEastAsia" w:eastAsiaTheme="minorEastAsia" w:cstheme="minorEastAsia"/>
                <w:b/>
                <w:color w:val="000000"/>
                <w:sz w:val="18"/>
                <w:szCs w:val="18"/>
                <w:highlight w:val="none"/>
              </w:rPr>
              <w:t>货物名称</w:t>
            </w:r>
          </w:p>
        </w:tc>
        <w:tc>
          <w:tcPr>
            <w:tcW w:w="6984" w:type="dxa"/>
            <w:vAlign w:val="center"/>
          </w:tcPr>
          <w:p>
            <w:pPr>
              <w:jc w:val="center"/>
              <w:rPr>
                <w:rFonts w:asciiTheme="minorEastAsia" w:hAnsiTheme="minorEastAsia" w:eastAsiaTheme="minorEastAsia" w:cstheme="minorEastAsia"/>
                <w:b/>
                <w:color w:val="000000"/>
                <w:sz w:val="18"/>
                <w:szCs w:val="18"/>
                <w:highlight w:val="none"/>
              </w:rPr>
            </w:pPr>
            <w:r>
              <w:rPr>
                <w:rFonts w:hint="eastAsia" w:asciiTheme="minorEastAsia" w:hAnsiTheme="minorEastAsia" w:eastAsiaTheme="minorEastAsia" w:cstheme="minorEastAsia"/>
                <w:b/>
                <w:color w:val="000000"/>
                <w:sz w:val="18"/>
                <w:szCs w:val="18"/>
                <w:highlight w:val="none"/>
              </w:rPr>
              <w:t>技术参数要求</w:t>
            </w:r>
          </w:p>
        </w:tc>
        <w:tc>
          <w:tcPr>
            <w:tcW w:w="786" w:type="dxa"/>
            <w:vAlign w:val="center"/>
          </w:tcPr>
          <w:p>
            <w:pPr>
              <w:jc w:val="center"/>
              <w:rPr>
                <w:rFonts w:asciiTheme="minorEastAsia" w:hAnsiTheme="minorEastAsia" w:eastAsiaTheme="minorEastAsia" w:cstheme="minorEastAsia"/>
                <w:b/>
                <w:color w:val="000000"/>
                <w:sz w:val="18"/>
                <w:szCs w:val="18"/>
                <w:highlight w:val="none"/>
              </w:rPr>
            </w:pPr>
            <w:r>
              <w:rPr>
                <w:rFonts w:hint="eastAsia" w:asciiTheme="minorEastAsia" w:hAnsiTheme="minorEastAsia" w:eastAsiaTheme="minorEastAsia" w:cstheme="minorEastAsia"/>
                <w:b/>
                <w:color w:val="000000"/>
                <w:sz w:val="18"/>
                <w:szCs w:val="18"/>
                <w:highlight w:val="none"/>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儿童入园体检系统</w:t>
            </w:r>
          </w:p>
        </w:tc>
        <w:tc>
          <w:tcPr>
            <w:tcW w:w="6984" w:type="dxa"/>
          </w:tcPr>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lang w:val="zh-CN"/>
              </w:rPr>
              <w:t>儿童基本信息录入</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w:t>
            </w:r>
            <w:r>
              <w:rPr>
                <w:rFonts w:hint="eastAsia"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lang w:val="zh-CN"/>
              </w:rPr>
              <w:t>）要求儿童基本信息录入流程必须按照保健中心规定的儿童健康检查业务流程执行；</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（2）要求能够通过微信、网页智能录入儿童基本信息，并进行预约登记。</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2、</w:t>
            </w:r>
            <w:r>
              <w:rPr>
                <w:rFonts w:hint="eastAsia" w:asciiTheme="minorEastAsia" w:hAnsiTheme="minorEastAsia" w:eastAsiaTheme="minorEastAsia" w:cstheme="minorEastAsia"/>
                <w:color w:val="000000"/>
                <w:sz w:val="18"/>
                <w:szCs w:val="18"/>
                <w:highlight w:val="none"/>
                <w:lang w:val="zh-CN"/>
              </w:rPr>
              <w:t>儿童健康检查数据录入</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（1）能够生成条形码，用户可凭条形码在相关科室进行检查，健康检查数据录入流程必须按照保健中心规定的儿童入园健康检查业务流程执行；</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（2）要求将检查项目需要与相应的检测仪器设备连接，并且将检测结果自动上传至管理系统；</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（3）要求能够记录并追溯到每项体检的医生；</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（4）要求系统的业务流程能够遵循儿保科医生的工作习惯、流程，智能录入信息。</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3、</w:t>
            </w:r>
            <w:r>
              <w:rPr>
                <w:rFonts w:hint="eastAsia" w:asciiTheme="minorEastAsia" w:hAnsiTheme="minorEastAsia" w:eastAsiaTheme="minorEastAsia" w:cstheme="minorEastAsia"/>
                <w:color w:val="000000"/>
                <w:sz w:val="18"/>
                <w:szCs w:val="18"/>
                <w:highlight w:val="none"/>
                <w:lang w:val="zh-CN"/>
              </w:rPr>
              <w:t>结果审批</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（1）要求具备三级审批结构，医生录入—科室复核—主检确认三个环节，审批流程必须按照保健中心规定的儿童健康检查业务流程执行；</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（2）要求能在系统上手动对健康检查结果报告进行审批；</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（3）具备自动审批入园体检报告功能，支持用户自行设定审批时间及频率，支持对检查合格的报告加盖单位电子公章，支持审批完成后立即生成PDF；</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（4）要求能对检查结果异常的儿童进行复检、跟踪等服务，能对复检结果支持再次审批、盖章等功能。</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4</w:t>
            </w:r>
            <w:r>
              <w:rPr>
                <w:rFonts w:hint="eastAsia" w:asciiTheme="minorEastAsia" w:hAnsiTheme="minorEastAsia" w:eastAsiaTheme="minorEastAsia" w:cstheme="minorEastAsia"/>
                <w:color w:val="000000"/>
                <w:sz w:val="18"/>
                <w:szCs w:val="18"/>
                <w:highlight w:val="none"/>
                <w:lang w:val="zh-CN"/>
              </w:rPr>
              <w:t>、短信管理</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（1）要求能够编辑短息模板；</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（2）要求能够及时向家长发送领取报告的短信通知。</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5、项目管理</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（1）支持新增体检项目，可设置项目名称、编码、项目类型、是否免费、价格、折扣价格、启用状态、是否折扣、是否必须、项目描述、排序等；</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（2）支持对新增体检项目需要填写的内容进行设置，包括填写的字段名、字段类型、字段取值、默认值、是否必填等内容进行设置；</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（3）支持对新增的体检项目进行修改、删除、查询。</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6、套餐管理</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（1）支持新增体检套餐，可设置套餐名称、套餐项目类型、套餐描述排序、启用状态，并设置是默认为基础套餐；</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（2）支持从项目管理中选择需要捆绑成套餐的项目，并自动生成金额；同时，支持手动设置套餐金额，并显示折扣率；</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（3）支持新增的套餐目进行修改、删除、查询。</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7、检验项目管理</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（1）支持用户配置检验明细，包括名称、报告单类型、所属项目、字段名称、LIS字段名称、性别、是否开启默认值、值类型、最小值、最大值、单位、检查设备、排序；</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（2）支持报告单类型、字段名称从系统的字典表中获取，并可以在字典表中进行添加、修改、删除；</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（3）支持所属项目从项目管理中配置的且生效中的项目里获取；</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（4）支持通过填写LIS字段名称，将对接的lis系统中对应的字段内容进行数据获取，并支持填写多个LIS字段名称；</w:t>
            </w:r>
          </w:p>
          <w:p>
            <w:pPr>
              <w:ind w:firstLine="181" w:firstLineChars="1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bCs/>
                <w:color w:val="000000"/>
                <w:sz w:val="18"/>
                <w:szCs w:val="18"/>
                <w:highlight w:val="none"/>
                <w:lang w:val="zh-CN"/>
              </w:rPr>
              <w:t>★（</w:t>
            </w:r>
            <w:r>
              <w:rPr>
                <w:rFonts w:hint="eastAsia" w:asciiTheme="minorEastAsia" w:hAnsiTheme="minorEastAsia" w:eastAsiaTheme="minorEastAsia" w:cstheme="minorEastAsia"/>
                <w:b/>
                <w:bCs/>
                <w:color w:val="000000"/>
                <w:sz w:val="18"/>
                <w:szCs w:val="18"/>
                <w:highlight w:val="none"/>
              </w:rPr>
              <w:t>5</w:t>
            </w:r>
            <w:r>
              <w:rPr>
                <w:rFonts w:hint="eastAsia" w:asciiTheme="minorEastAsia" w:hAnsiTheme="minorEastAsia" w:eastAsiaTheme="minorEastAsia" w:cstheme="minorEastAsia"/>
                <w:b/>
                <w:bCs/>
                <w:color w:val="000000"/>
                <w:sz w:val="18"/>
                <w:szCs w:val="18"/>
                <w:highlight w:val="none"/>
                <w:lang w:val="zh-CN"/>
              </w:rPr>
              <w:t>）响应文件中提供满足上述“（1）~（</w:t>
            </w:r>
            <w:r>
              <w:rPr>
                <w:rFonts w:hint="eastAsia" w:asciiTheme="minorEastAsia" w:hAnsiTheme="minorEastAsia" w:eastAsiaTheme="minorEastAsia" w:cstheme="minorEastAsia"/>
                <w:b/>
                <w:bCs/>
                <w:color w:val="000000"/>
                <w:sz w:val="18"/>
                <w:szCs w:val="18"/>
                <w:highlight w:val="none"/>
              </w:rPr>
              <w:t>4</w:t>
            </w:r>
            <w:r>
              <w:rPr>
                <w:rFonts w:hint="eastAsia" w:asciiTheme="minorEastAsia" w:hAnsiTheme="minorEastAsia" w:eastAsiaTheme="minorEastAsia" w:cstheme="minorEastAsia"/>
                <w:b/>
                <w:bCs/>
                <w:color w:val="000000"/>
                <w:sz w:val="18"/>
                <w:szCs w:val="18"/>
                <w:highlight w:val="none"/>
                <w:lang w:val="zh-CN"/>
              </w:rPr>
              <w:t>）”全部要求的插件功能截图加以证明。</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8、费用统计</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（1）收费统计（按项目）：支持通过预约时间查询缴费统计信息，需要按照收费项目、体检人次、已缴费总金额、已查总金额、已退费总金额、需退费总金额进行页面展示，并支持导出上述内容的Excel；</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（2）收费统计（按套餐）：支持通过预约时间查询缴费统计信息，需要按照套餐项目、体检人次、已缴费总金额、已查总金额、已退费总金额、需退费总金额进行页面展示，并支持导出上述内容的Excel；</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（3）缴费明细查询：支持通过儿童姓名、母亲证件号、条码号、缴费状态、体检日期查询缴费明细，并支持导出上述内容的Excel；</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（4）绩效统计：支持通过预约时间查询儿保科、检验科、放射科的绩效信息，需要按照项目（或套餐）、儿保科绩效、检验科绩效、放射科绩效进行页面展示，并支持导出上述内容的Excel。</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9、统计分析：</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（1）要求能够分别对科室医生的工作量进行统计；</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（2）要求能够对入园体检儿童进行健康分析，包括但不限于分性别统计：营养不良人数及受检率、肥胖人数及受检率、贫血人数及受检率、视力不良人数及受检率、龋齿人数及受检率并导出相应的excel文件；</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要求能够对入园体检数据进行统计分析：医生可以通过系统选择系统当前列表显示的体检项目，通过查询条件查询体格上等、下等、中下等、视力异常、贫血、ALT异常、龋病、皮肤异常等儿童的数据，并按照上述要求导出对应的excel文件；</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要求能够对入园体检儿童体格发育进行统计：医生可通过体检日期等查询条件，查询出在WHO标准下不同年龄段的儿童体重、身高、身高体重（体型）分别在＜-2SD、-2SD、-1SD、均值、1SD、2SD、＞2SD的人数，并按照上述要求导出对应的excel文件；</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要求能够对入园体检儿童疾病缺点进行统计分析：医生可通过体检日期等查询条件，查询并统计出健康儿童总人数、患病儿童总人数及比例；同时能够对贫血、皮肤病、肥胖、龋病、隐睾等疾病情况，水痘、腮腺炎、手足口病等传染病，营养不良等、低体重、生长迟缓、消瘦等营养不良情况以及视力不良情况进行分年龄段、分性别进行统计分析，并按照上述要求导出对应的excel文件；</w:t>
            </w:r>
          </w:p>
          <w:p>
            <w:pPr>
              <w:ind w:firstLine="360" w:firstLineChars="2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（6）要求能够对新入学的儿童肺结核筛查进行统计分析，并按照上述要求导出对应的excel文件。</w:t>
            </w:r>
          </w:p>
          <w:p>
            <w:pPr>
              <w:ind w:firstLine="181" w:firstLineChars="100"/>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bCs/>
                <w:color w:val="000000"/>
                <w:sz w:val="18"/>
                <w:szCs w:val="18"/>
                <w:highlight w:val="none"/>
                <w:lang w:val="zh-CN"/>
              </w:rPr>
              <w:t>★（</w:t>
            </w:r>
            <w:r>
              <w:rPr>
                <w:rFonts w:hint="eastAsia" w:asciiTheme="minorEastAsia" w:hAnsiTheme="minorEastAsia" w:eastAsiaTheme="minorEastAsia" w:cstheme="minorEastAsia"/>
                <w:b/>
                <w:bCs/>
                <w:color w:val="000000"/>
                <w:sz w:val="18"/>
                <w:szCs w:val="18"/>
                <w:highlight w:val="none"/>
              </w:rPr>
              <w:t>7</w:t>
            </w:r>
            <w:r>
              <w:rPr>
                <w:rFonts w:hint="eastAsia" w:asciiTheme="minorEastAsia" w:hAnsiTheme="minorEastAsia" w:eastAsiaTheme="minorEastAsia" w:cstheme="minorEastAsia"/>
                <w:b/>
                <w:bCs/>
                <w:color w:val="000000"/>
                <w:sz w:val="18"/>
                <w:szCs w:val="18"/>
                <w:highlight w:val="none"/>
                <w:lang w:val="zh-CN"/>
              </w:rPr>
              <w:t>）响应文件中提供满足上述“（1）~（</w:t>
            </w:r>
            <w:r>
              <w:rPr>
                <w:rFonts w:hint="eastAsia" w:asciiTheme="minorEastAsia" w:hAnsiTheme="minorEastAsia" w:eastAsiaTheme="minorEastAsia" w:cstheme="minorEastAsia"/>
                <w:b/>
                <w:bCs/>
                <w:color w:val="000000"/>
                <w:sz w:val="18"/>
                <w:szCs w:val="18"/>
                <w:highlight w:val="none"/>
              </w:rPr>
              <w:t>6</w:t>
            </w:r>
            <w:r>
              <w:rPr>
                <w:rFonts w:hint="eastAsia" w:asciiTheme="minorEastAsia" w:hAnsiTheme="minorEastAsia" w:eastAsiaTheme="minorEastAsia" w:cstheme="minorEastAsia"/>
                <w:b/>
                <w:bCs/>
                <w:color w:val="000000"/>
                <w:sz w:val="18"/>
                <w:szCs w:val="18"/>
                <w:highlight w:val="none"/>
                <w:lang w:val="zh-CN"/>
              </w:rPr>
              <w:t>）”全部要求的插件功能截图加以证明。</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10、</w:t>
            </w:r>
            <w:r>
              <w:rPr>
                <w:rFonts w:hint="eastAsia" w:asciiTheme="minorEastAsia" w:hAnsiTheme="minorEastAsia" w:eastAsiaTheme="minorEastAsia" w:cstheme="minorEastAsia"/>
                <w:color w:val="000000"/>
                <w:sz w:val="18"/>
                <w:szCs w:val="18"/>
                <w:highlight w:val="none"/>
                <w:lang w:val="zh-CN"/>
              </w:rPr>
              <w:t>体检仪器接口</w:t>
            </w:r>
          </w:p>
          <w:p>
            <w:pPr>
              <w:ind w:firstLine="360" w:firstLineChars="200"/>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val="zh-CN"/>
              </w:rPr>
              <w:t>要求根据保健中心规定的儿童健康检查业务流程，接收本项目采购的身高体重</w:t>
            </w:r>
            <w:r>
              <w:rPr>
                <w:rFonts w:hint="eastAsia" w:asciiTheme="minorEastAsia" w:hAnsiTheme="minorEastAsia" w:eastAsiaTheme="minorEastAsia" w:cstheme="minorEastAsia"/>
                <w:color w:val="000000"/>
                <w:sz w:val="18"/>
                <w:szCs w:val="18"/>
                <w:highlight w:val="none"/>
              </w:rPr>
              <w:t>秤</w:t>
            </w:r>
            <w:r>
              <w:rPr>
                <w:rFonts w:hint="eastAsia" w:asciiTheme="minorEastAsia" w:hAnsiTheme="minorEastAsia" w:eastAsiaTheme="minorEastAsia" w:cstheme="minorEastAsia"/>
                <w:color w:val="000000"/>
                <w:sz w:val="18"/>
                <w:szCs w:val="18"/>
                <w:highlight w:val="none"/>
                <w:lang w:val="zh-CN"/>
              </w:rPr>
              <w:t>、我单位已有的伟伦双目视力筛查仪等仪器的检测结果，对接费用已包含在本项目中，我单位不再另行支付；</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11</w:t>
            </w:r>
            <w:r>
              <w:rPr>
                <w:rFonts w:hint="eastAsia" w:asciiTheme="minorEastAsia" w:hAnsiTheme="minorEastAsia" w:eastAsiaTheme="minorEastAsia" w:cstheme="minorEastAsia"/>
                <w:color w:val="000000"/>
                <w:sz w:val="18"/>
                <w:szCs w:val="18"/>
                <w:highlight w:val="none"/>
                <w:lang w:val="zh-CN"/>
              </w:rPr>
              <w:t>、为减轻服务器长链接消耗系统资源造成系统的反应减慢、卡顿等显现，保证系统的稳定性、健壮性：关于视力仪、血压仪、身高体重秤、身份证读卡器、条码打印机、高拍仪等仪器设备的设置、数据传输、数据交互需要通过独立的插件与系统进行通讯，具体要求如下：</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（1）需要能够自由开启与关闭条码打印、血压仪、身高体重秤、身份证读卡器、高拍仪等仪器，同时能够设置这些仪器的数据传输端口；</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（2）能够配置视力仪获取数据的IP地址等相关信息；</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（3）需要能够在插件上控制条码打印机打印出条码的内容，包括字体高度与宽度、条码位置与宽度、文字居中、关键字替换、合并关键字等；</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（4）插件需要支持条码打印转发功能，满足条码打印机的共享使用；</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（5）插件需要支持自动更新功能。</w:t>
            </w:r>
          </w:p>
          <w:p>
            <w:pPr>
              <w:ind w:firstLine="181" w:firstLineChars="100"/>
              <w:jc w:val="left"/>
              <w:rPr>
                <w:rFonts w:asciiTheme="minorEastAsia" w:hAnsiTheme="minorEastAsia" w:eastAsiaTheme="minorEastAsia" w:cstheme="minorEastAsia"/>
                <w:b/>
                <w:bCs/>
                <w:color w:val="000000"/>
                <w:sz w:val="18"/>
                <w:szCs w:val="18"/>
                <w:highlight w:val="none"/>
                <w:lang w:val="zh-CN"/>
              </w:rPr>
            </w:pPr>
            <w:r>
              <w:rPr>
                <w:rFonts w:hint="eastAsia" w:asciiTheme="minorEastAsia" w:hAnsiTheme="minorEastAsia" w:eastAsiaTheme="minorEastAsia" w:cstheme="minorEastAsia"/>
                <w:b/>
                <w:bCs/>
                <w:color w:val="000000"/>
                <w:sz w:val="18"/>
                <w:szCs w:val="18"/>
                <w:highlight w:val="none"/>
                <w:lang w:val="zh-CN"/>
              </w:rPr>
              <w:t>★（6）响应文件中提供满足上述“（1）~（5）”全部要求的插件功能截图加以证明。</w:t>
            </w:r>
          </w:p>
          <w:p>
            <w:pPr>
              <w:numPr>
                <w:ilvl w:val="0"/>
                <w:numId w:val="1"/>
              </w:num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其他事项：</w:t>
            </w:r>
          </w:p>
          <w:p>
            <w:pPr>
              <w:ind w:firstLine="360" w:firstLineChars="200"/>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成交单位需要无偿承担将入园体检数据上传至安庆市现用的安庆市妇幼健康信息平台（妇幼晶奇管理系统）的工作。</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入园体检系统APP</w:t>
            </w:r>
          </w:p>
        </w:tc>
        <w:tc>
          <w:tcPr>
            <w:tcW w:w="6984" w:type="dxa"/>
          </w:tcPr>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1、总体要求：</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（1）需要在本项目中提供的平板电脑上预装APP，以方便入园体检等数据的录入：</w:t>
            </w:r>
          </w:p>
          <w:p>
            <w:pPr>
              <w:ind w:firstLine="181" w:firstLineChars="1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b/>
                <w:bCs/>
                <w:color w:val="000000"/>
                <w:sz w:val="18"/>
                <w:szCs w:val="18"/>
                <w:highlight w:val="none"/>
                <w:lang w:val="zh-CN"/>
              </w:rPr>
              <w:t>★（2）要求能够在APP上配置：服务地址、管理机构、APP名称、是否开启自动更新等功能，响应文件中提供功能截图加以证明。</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（3）要求能够在APP上配置启用的业务，包括：入园体检。</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2</w:t>
            </w:r>
            <w:r>
              <w:rPr>
                <w:rFonts w:hint="eastAsia" w:asciiTheme="minorEastAsia" w:hAnsiTheme="minorEastAsia" w:eastAsiaTheme="minorEastAsia" w:cstheme="minorEastAsia"/>
                <w:color w:val="000000"/>
                <w:sz w:val="18"/>
                <w:szCs w:val="18"/>
                <w:highlight w:val="none"/>
                <w:lang w:val="zh-CN"/>
              </w:rPr>
              <w:t>、入园体检数据录入功能要求</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（1）支持扫码获取入园儿童数据，能够同时支持蓝牙扫码器扫码以及摄像头直接扫码两种方式。</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（2）体检数据录入：</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1）支持身高体重数据的录入；</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2）支持体格检查，包括体格12项的数据录入；</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3）支持视力检查数据的录入，支持常用视力数据的记录与回显；</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4）支持化验检查数据的录入；</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5）支持对家长选择的套餐项目进行结果录入。</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（3）漏检查询</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具备常规项目漏检项提醒查询功能，即能够获取某个时间段内总有效预约人数、实际体检人数、已检查身高、已检查生化、已检查体格、已检查视力的人数，并能够获取未体检或者漏检的儿童姓名、年龄、母亲证件号、联系电话；</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2）支持增选项目漏检查询功能，即能够获取某个时间段内各个套餐内项目实际预约人数、已检查人数，并能够获取漏检的儿童姓名、年龄、母亲证件号、联系电话；</w:t>
            </w:r>
          </w:p>
          <w:p>
            <w:pPr>
              <w:ind w:firstLine="181" w:firstLineChars="100"/>
              <w:jc w:val="left"/>
              <w:rPr>
                <w:rFonts w:asciiTheme="minorEastAsia" w:hAnsiTheme="minorEastAsia" w:eastAsiaTheme="minorEastAsia" w:cstheme="minorEastAsia"/>
                <w:b/>
                <w:bCs/>
                <w:color w:val="000000"/>
                <w:sz w:val="18"/>
                <w:szCs w:val="18"/>
                <w:highlight w:val="none"/>
                <w:lang w:val="zh-CN"/>
              </w:rPr>
            </w:pPr>
            <w:r>
              <w:rPr>
                <w:rFonts w:hint="eastAsia" w:asciiTheme="minorEastAsia" w:hAnsiTheme="minorEastAsia" w:eastAsiaTheme="minorEastAsia" w:cstheme="minorEastAsia"/>
                <w:b/>
                <w:bCs/>
                <w:color w:val="000000"/>
                <w:sz w:val="18"/>
                <w:szCs w:val="18"/>
                <w:highlight w:val="none"/>
                <w:lang w:val="zh-CN"/>
              </w:rPr>
              <w:t>★</w:t>
            </w:r>
            <w:r>
              <w:rPr>
                <w:rFonts w:hint="eastAsia" w:asciiTheme="minorEastAsia" w:hAnsiTheme="minorEastAsia" w:eastAsiaTheme="minorEastAsia" w:cstheme="minorEastAsia"/>
                <w:b/>
                <w:bCs/>
                <w:color w:val="000000"/>
                <w:sz w:val="18"/>
                <w:szCs w:val="18"/>
                <w:highlight w:val="none"/>
              </w:rPr>
              <w:t>3</w:t>
            </w:r>
            <w:r>
              <w:rPr>
                <w:rFonts w:hint="eastAsia" w:asciiTheme="minorEastAsia" w:hAnsiTheme="minorEastAsia" w:eastAsiaTheme="minorEastAsia" w:cstheme="minorEastAsia"/>
                <w:b/>
                <w:bCs/>
                <w:color w:val="000000"/>
                <w:sz w:val="18"/>
                <w:szCs w:val="18"/>
                <w:highlight w:val="none"/>
                <w:lang w:val="zh-CN"/>
              </w:rPr>
              <w:t>）响应文件中提供满足上述“1）”、“</w:t>
            </w:r>
            <w:r>
              <w:rPr>
                <w:rFonts w:hint="eastAsia" w:asciiTheme="minorEastAsia" w:hAnsiTheme="minorEastAsia" w:eastAsiaTheme="minorEastAsia" w:cstheme="minorEastAsia"/>
                <w:b/>
                <w:bCs/>
                <w:color w:val="000000"/>
                <w:sz w:val="18"/>
                <w:szCs w:val="18"/>
                <w:highlight w:val="none"/>
              </w:rPr>
              <w:t>2</w:t>
            </w:r>
            <w:r>
              <w:rPr>
                <w:rFonts w:hint="eastAsia" w:asciiTheme="minorEastAsia" w:hAnsiTheme="minorEastAsia" w:eastAsiaTheme="minorEastAsia" w:cstheme="minorEastAsia"/>
                <w:b/>
                <w:bCs/>
                <w:color w:val="000000"/>
                <w:sz w:val="18"/>
                <w:szCs w:val="18"/>
                <w:highlight w:val="none"/>
                <w:lang w:val="zh-CN"/>
              </w:rPr>
              <w:t>）”全部要求的功能截图加以证明。</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w:t>
            </w:r>
            <w:r>
              <w:rPr>
                <w:rFonts w:hint="eastAsia" w:asciiTheme="minorEastAsia" w:hAnsiTheme="minorEastAsia" w:eastAsiaTheme="minorEastAsia" w:cstheme="minorEastAsia"/>
                <w:color w:val="000000"/>
                <w:sz w:val="18"/>
                <w:szCs w:val="18"/>
                <w:highlight w:val="none"/>
              </w:rPr>
              <w:t>4</w:t>
            </w:r>
            <w:r>
              <w:rPr>
                <w:rFonts w:hint="eastAsia" w:asciiTheme="minorEastAsia" w:hAnsiTheme="minorEastAsia" w:eastAsiaTheme="minorEastAsia" w:cstheme="minorEastAsia"/>
                <w:color w:val="000000"/>
                <w:sz w:val="18"/>
                <w:szCs w:val="18"/>
                <w:highlight w:val="none"/>
                <w:lang w:val="zh-CN"/>
              </w:rPr>
              <w:t>）其他功能：</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1）支持增选项目结果的录入功能，并能够根据后台是否配置增选项目来开关移动端增选项目录入入口。</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微信平台</w:t>
            </w:r>
          </w:p>
        </w:tc>
        <w:tc>
          <w:tcPr>
            <w:tcW w:w="6984" w:type="dxa"/>
          </w:tcPr>
          <w:p>
            <w:pPr>
              <w:numPr>
                <w:ilvl w:val="0"/>
                <w:numId w:val="2"/>
              </w:num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自助登记功能：</w:t>
            </w:r>
          </w:p>
          <w:p>
            <w:pPr>
              <w:numPr>
                <w:ilvl w:val="0"/>
                <w:numId w:val="3"/>
              </w:num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具备在微信实现：儿童基本信息录入、母亲签名、选择预约时间。</w:t>
            </w:r>
          </w:p>
          <w:p>
            <w:pPr>
              <w:numPr>
                <w:ilvl w:val="0"/>
                <w:numId w:val="3"/>
              </w:num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具备在线支付功能：能够为家长提供预约完成后直接微信支付的功能。</w:t>
            </w:r>
          </w:p>
          <w:p>
            <w:pPr>
              <w:numPr>
                <w:ilvl w:val="0"/>
                <w:numId w:val="3"/>
              </w:num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具备设置不同的套餐，让家长进行选择。</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2、具备</w:t>
            </w:r>
            <w:r>
              <w:rPr>
                <w:rFonts w:hint="eastAsia" w:asciiTheme="minorEastAsia" w:hAnsiTheme="minorEastAsia" w:eastAsiaTheme="minorEastAsia" w:cstheme="minorEastAsia"/>
                <w:color w:val="000000"/>
                <w:sz w:val="18"/>
                <w:szCs w:val="18"/>
                <w:highlight w:val="none"/>
                <w:lang w:val="zh-CN"/>
              </w:rPr>
              <w:t>能够通过微信向用户提供报告在线查看、下载报告的功能。</w:t>
            </w:r>
          </w:p>
          <w:p>
            <w:p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3、其他服务：</w:t>
            </w:r>
          </w:p>
          <w:p>
            <w:pPr>
              <w:ind w:firstLine="360" w:firstLineChars="200"/>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（1）能够将我单位现有的微信公众号中的儿童保健业务就集成于同一个入口，方便家长查询办理相关业务。</w:t>
            </w:r>
          </w:p>
          <w:p>
            <w:pPr>
              <w:ind w:firstLine="360" w:firstLineChars="200"/>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（2）提供微信商户号代办、域名申请及电信备案等增值服务，服务相关费用已包含在本项目中，我单位不再另行支付。</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6"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Lis系统</w:t>
            </w:r>
          </w:p>
        </w:tc>
        <w:tc>
          <w:tcPr>
            <w:tcW w:w="6984" w:type="dxa"/>
          </w:tcPr>
          <w:p>
            <w:p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1、提供LIS主程序1套；</w:t>
            </w:r>
          </w:p>
          <w:p>
            <w:p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2、对接生化仪器设备，实现生化项目结果自动上传至入园体检系统。</w:t>
            </w:r>
          </w:p>
          <w:p>
            <w:pPr>
              <w:jc w:val="left"/>
              <w:rPr>
                <w:rFonts w:asciiTheme="minorEastAsia" w:hAnsiTheme="minorEastAsia" w:eastAsiaTheme="minorEastAsia" w:cstheme="minorEastAsia"/>
                <w:color w:val="000000"/>
                <w:kern w:val="24"/>
                <w:sz w:val="18"/>
                <w:szCs w:val="18"/>
                <w:highlight w:val="none"/>
              </w:rPr>
            </w:pPr>
            <w:r>
              <w:rPr>
                <w:rFonts w:hint="eastAsia" w:asciiTheme="minorEastAsia" w:hAnsiTheme="minorEastAsia" w:eastAsiaTheme="minorEastAsia" w:cstheme="minorEastAsia"/>
                <w:color w:val="000000"/>
                <w:sz w:val="18"/>
                <w:szCs w:val="18"/>
                <w:highlight w:val="none"/>
              </w:rPr>
              <w:t>3、对接血常规仪器，将血常规结果自动上传至入园体检系统。</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身份证读卡器</w:t>
            </w:r>
          </w:p>
        </w:tc>
        <w:tc>
          <w:tcPr>
            <w:tcW w:w="6984" w:type="dxa"/>
          </w:tcPr>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lang w:val="zh-CN"/>
              </w:rPr>
              <w:t>符合公安部GA450、1GA450标准规范，符合非接触IC卡ISO14443标准；</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2、</w:t>
            </w:r>
            <w:r>
              <w:rPr>
                <w:rFonts w:hint="eastAsia" w:asciiTheme="minorEastAsia" w:hAnsiTheme="minorEastAsia" w:eastAsiaTheme="minorEastAsia" w:cstheme="minorEastAsia"/>
                <w:color w:val="000000"/>
                <w:sz w:val="18"/>
                <w:szCs w:val="18"/>
                <w:highlight w:val="none"/>
                <w:lang w:val="zh-CN"/>
              </w:rPr>
              <w:t>读卡时间：＜0.5s；最大读卡距离：≥50mm；</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3、</w:t>
            </w:r>
            <w:r>
              <w:rPr>
                <w:rFonts w:hint="eastAsia" w:asciiTheme="minorEastAsia" w:hAnsiTheme="minorEastAsia" w:eastAsiaTheme="minorEastAsia" w:cstheme="minorEastAsia"/>
                <w:color w:val="000000"/>
                <w:sz w:val="18"/>
                <w:szCs w:val="18"/>
                <w:highlight w:val="none"/>
                <w:lang w:val="zh-CN"/>
              </w:rPr>
              <w:t>工作频率：13.56MHZ±7KHZ；</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4、</w:t>
            </w:r>
            <w:r>
              <w:rPr>
                <w:rFonts w:hint="eastAsia" w:asciiTheme="minorEastAsia" w:hAnsiTheme="minorEastAsia" w:eastAsiaTheme="minorEastAsia" w:cstheme="minorEastAsia"/>
                <w:color w:val="000000"/>
                <w:sz w:val="18"/>
                <w:szCs w:val="18"/>
                <w:highlight w:val="none"/>
                <w:lang w:val="zh-CN"/>
              </w:rPr>
              <w:t>天线能量输出：天线表面电磁场强度（Hmax）≤7.5A/m rms；天线表面法线方向5cm处电磁场强度（Hmin）≥1.5A/m rms；</w:t>
            </w:r>
          </w:p>
          <w:p>
            <w:p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w:t>
            </w:r>
            <w:r>
              <w:rPr>
                <w:rFonts w:hint="eastAsia" w:asciiTheme="minorEastAsia" w:hAnsiTheme="minorEastAsia" w:eastAsiaTheme="minorEastAsia" w:cstheme="minorEastAsia"/>
                <w:color w:val="000000"/>
                <w:sz w:val="18"/>
                <w:szCs w:val="18"/>
                <w:highlight w:val="none"/>
                <w:lang w:val="zh-CN"/>
              </w:rPr>
              <w:t>数据通信：RS232-C；符合GB/T 2423-2001标准规定。</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9"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6</w:t>
            </w:r>
          </w:p>
        </w:tc>
        <w:tc>
          <w:tcPr>
            <w:tcW w:w="1176" w:type="dxa"/>
            <w:vAlign w:val="center"/>
          </w:tcPr>
          <w:p>
            <w:pPr>
              <w:jc w:val="center"/>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条码打印机</w:t>
            </w:r>
          </w:p>
        </w:tc>
        <w:tc>
          <w:tcPr>
            <w:tcW w:w="6984" w:type="dxa"/>
          </w:tcPr>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1、分辨率：</w:t>
            </w:r>
            <w:r>
              <w:rPr>
                <w:rFonts w:hint="eastAsia" w:asciiTheme="minorEastAsia" w:hAnsiTheme="minorEastAsia" w:eastAsiaTheme="minorEastAsia" w:cstheme="minorEastAsia"/>
                <w:color w:val="000000"/>
                <w:sz w:val="18"/>
                <w:szCs w:val="18"/>
                <w:highlight w:val="none"/>
                <w:lang w:val="en-US" w:eastAsia="zh-CN"/>
              </w:rPr>
              <w:t>不低于</w:t>
            </w:r>
            <w:r>
              <w:rPr>
                <w:rFonts w:hint="eastAsia" w:asciiTheme="minorEastAsia" w:hAnsiTheme="minorEastAsia" w:eastAsiaTheme="minorEastAsia" w:cstheme="minorEastAsia"/>
                <w:color w:val="000000"/>
                <w:sz w:val="18"/>
                <w:szCs w:val="18"/>
                <w:highlight w:val="none"/>
                <w:lang w:val="zh-CN"/>
              </w:rPr>
              <w:t>203 dpi (8点/毫米)；</w:t>
            </w:r>
          </w:p>
          <w:p>
            <w:pPr>
              <w:jc w:val="left"/>
              <w:rPr>
                <w:rFonts w:hint="eastAsia"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2、内存：≥8MB闪存:8MB SDRAM(标配)；</w:t>
            </w:r>
          </w:p>
          <w:p>
            <w:pPr>
              <w:jc w:val="left"/>
              <w:rPr>
                <w:rFonts w:hint="eastAsia"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3、打印宽度：≥4.09英寸/104毫米；打印长度：≥39英寸/990毫米；</w:t>
            </w:r>
          </w:p>
          <w:p>
            <w:pPr>
              <w:jc w:val="left"/>
              <w:rPr>
                <w:rFonts w:hint="eastAsia"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4、打印速度：</w:t>
            </w:r>
            <w:r>
              <w:rPr>
                <w:rFonts w:hint="eastAsia" w:asciiTheme="minorEastAsia" w:hAnsiTheme="minorEastAsia" w:eastAsiaTheme="minorEastAsia" w:cstheme="minorEastAsia"/>
                <w:color w:val="000000"/>
                <w:sz w:val="18"/>
                <w:szCs w:val="18"/>
                <w:highlight w:val="none"/>
                <w:lang w:val="en-US" w:eastAsia="zh-CN"/>
              </w:rPr>
              <w:t>不低于</w:t>
            </w:r>
            <w:r>
              <w:rPr>
                <w:rFonts w:hint="eastAsia" w:asciiTheme="minorEastAsia" w:hAnsiTheme="minorEastAsia" w:eastAsiaTheme="minorEastAsia" w:cstheme="minorEastAsia"/>
                <w:color w:val="000000"/>
                <w:sz w:val="18"/>
                <w:szCs w:val="18"/>
                <w:highlight w:val="none"/>
                <w:lang w:val="zh-CN"/>
              </w:rPr>
              <w:t>4英寸/102毫米/秒；</w:t>
            </w:r>
          </w:p>
          <w:p>
            <w:pPr>
              <w:jc w:val="left"/>
              <w:rPr>
                <w:rFonts w:hint="eastAsia"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5、支持的介质特性：介质宽度：25.4mm～108mm；介质长度：9.6mm～990mm；最大介质卷尺寸：外径127mm毫米，卷芯内径25.4mm～38mm；介质厚度：0.08mm～0.18mm；</w:t>
            </w:r>
          </w:p>
          <w:p>
            <w:pPr>
              <w:jc w:val="left"/>
              <w:rPr>
                <w:rFonts w:hint="eastAsia"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6、介质类型：卷筒纸、连续纸、模切纸、连续热敏标签、tag材料、连续收据纸、腕带和免衬纸热敏介质；</w:t>
            </w:r>
          </w:p>
          <w:p>
            <w:pPr>
              <w:jc w:val="left"/>
              <w:rPr>
                <w:rFonts w:hint="eastAsia"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7、碳带规格：碳带外径：34mm(74m)；标准长度：74m；比率：介质卷与碳带比率为1:1；宽度：33.8mm～58mm；卷芯内径：12.7mm；</w:t>
            </w:r>
          </w:p>
          <w:p>
            <w:pPr>
              <w:jc w:val="left"/>
              <w:rPr>
                <w:rFonts w:hint="eastAsia"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lang w:val="zh-CN"/>
              </w:rPr>
              <w:t xml:space="preserve">8、支持的条码符号：条码比率：2:1(无旋转)和3:1；一维条码：Codabar. </w:t>
            </w:r>
            <w:r>
              <w:rPr>
                <w:rFonts w:hint="eastAsia" w:asciiTheme="minorEastAsia" w:hAnsiTheme="minorEastAsia" w:eastAsiaTheme="minorEastAsia" w:cstheme="minorEastAsia"/>
                <w:color w:val="000000"/>
                <w:sz w:val="18"/>
                <w:szCs w:val="18"/>
                <w:highlight w:val="none"/>
              </w:rPr>
              <w:t>Code 11 (ZPL). Code 128. Code 39. Code 93. Code 93. EAN-13. EAN-8. EAN-14 (ZPL). GermanPost Code (EPL). Industrial 2-of-5 (ZPL).Interleaved 2-of-5. Japanese Postnet (EPL).ISBT 128 (ZPL). Logmars (ZPL).MSI.Plessey. Postnet. GS1 DataBar (RSS-14). Standard 2-of-5 (ZPL). UCC/EAN-128 (EPL). UPC and EAN 2 or 5 digitextensions (ZPL). UPC-A. UPC-A and UPC-E with EAN 2 or 5 digit extensions. UPC-E, and GS1 Databar(</w:t>
            </w:r>
            <w:r>
              <w:rPr>
                <w:rFonts w:hint="eastAsia" w:asciiTheme="minorEastAsia" w:hAnsiTheme="minorEastAsia" w:eastAsiaTheme="minorEastAsia" w:cstheme="minorEastAsia"/>
                <w:color w:val="000000"/>
                <w:sz w:val="18"/>
                <w:szCs w:val="18"/>
                <w:highlight w:val="none"/>
                <w:lang w:val="zh-CN"/>
              </w:rPr>
              <w:t>原</w:t>
            </w:r>
            <w:r>
              <w:rPr>
                <w:rFonts w:hint="eastAsia" w:asciiTheme="minorEastAsia" w:hAnsiTheme="minorEastAsia" w:eastAsiaTheme="minorEastAsia" w:cstheme="minorEastAsia"/>
                <w:color w:val="000000"/>
                <w:sz w:val="18"/>
                <w:szCs w:val="18"/>
                <w:highlight w:val="none"/>
              </w:rPr>
              <w:t>RSS)；</w:t>
            </w:r>
            <w:r>
              <w:rPr>
                <w:rFonts w:hint="eastAsia" w:asciiTheme="minorEastAsia" w:hAnsiTheme="minorEastAsia" w:eastAsiaTheme="minorEastAsia" w:cstheme="minorEastAsia"/>
                <w:color w:val="000000"/>
                <w:sz w:val="18"/>
                <w:szCs w:val="18"/>
                <w:highlight w:val="none"/>
                <w:lang w:val="zh-CN"/>
              </w:rPr>
              <w:t>二维条码</w:t>
            </w:r>
            <w:r>
              <w:rPr>
                <w:rFonts w:hint="eastAsia" w:asciiTheme="minorEastAsia" w:hAnsiTheme="minorEastAsia" w:eastAsiaTheme="minorEastAsia" w:cstheme="minorEastAsia"/>
                <w:color w:val="000000"/>
                <w:sz w:val="18"/>
                <w:szCs w:val="18"/>
                <w:highlight w:val="none"/>
              </w:rPr>
              <w:t>:Codablock (ZPL). Code 49 (ZPL).Data Matrix. MaxiCode. QR Code.PDF417. MicroPDF417. Aztec(</w:t>
            </w:r>
            <w:r>
              <w:rPr>
                <w:rFonts w:hint="eastAsia" w:asciiTheme="minorEastAsia" w:hAnsiTheme="minorEastAsia" w:eastAsiaTheme="minorEastAsia" w:cstheme="minorEastAsia"/>
                <w:color w:val="000000"/>
                <w:sz w:val="18"/>
                <w:szCs w:val="18"/>
                <w:highlight w:val="none"/>
                <w:lang w:val="zh-CN"/>
              </w:rPr>
              <w:t>对于</w:t>
            </w:r>
            <w:r>
              <w:rPr>
                <w:rFonts w:hint="eastAsia" w:asciiTheme="minorEastAsia" w:hAnsiTheme="minorEastAsia" w:eastAsiaTheme="minorEastAsia" w:cstheme="minorEastAsia"/>
                <w:color w:val="000000"/>
                <w:sz w:val="18"/>
                <w:szCs w:val="18"/>
                <w:highlight w:val="none"/>
              </w:rPr>
              <w:t>EPL</w:t>
            </w:r>
            <w:r>
              <w:rPr>
                <w:rFonts w:hint="eastAsia" w:asciiTheme="minorEastAsia" w:hAnsiTheme="minorEastAsia" w:eastAsiaTheme="minorEastAsia" w:cstheme="minorEastAsia"/>
                <w:color w:val="000000"/>
                <w:sz w:val="18"/>
                <w:szCs w:val="18"/>
                <w:highlight w:val="none"/>
                <w:lang w:val="zh-CN"/>
              </w:rPr>
              <w:t>和</w:t>
            </w:r>
            <w:r>
              <w:rPr>
                <w:rFonts w:hint="eastAsia" w:asciiTheme="minorEastAsia" w:hAnsiTheme="minorEastAsia" w:eastAsiaTheme="minorEastAsia" w:cstheme="minorEastAsia"/>
                <w:color w:val="000000"/>
                <w:sz w:val="18"/>
                <w:szCs w:val="18"/>
                <w:highlight w:val="none"/>
              </w:rPr>
              <w:t>ZPL，</w:t>
            </w:r>
            <w:r>
              <w:rPr>
                <w:rFonts w:hint="eastAsia" w:asciiTheme="minorEastAsia" w:hAnsiTheme="minorEastAsia" w:eastAsiaTheme="minorEastAsia" w:cstheme="minorEastAsia"/>
                <w:color w:val="000000"/>
                <w:sz w:val="18"/>
                <w:szCs w:val="18"/>
                <w:highlight w:val="none"/>
                <w:lang w:val="zh-CN"/>
              </w:rPr>
              <w:t>注明的除外</w:t>
            </w:r>
            <w:r>
              <w:rPr>
                <w:rFonts w:hint="eastAsia" w:asciiTheme="minorEastAsia" w:hAnsiTheme="minorEastAsia" w:eastAsiaTheme="minorEastAsia" w:cstheme="minorEastAsia"/>
                <w:color w:val="000000"/>
                <w:sz w:val="18"/>
                <w:szCs w:val="18"/>
                <w:highlight w:val="none"/>
              </w:rPr>
              <w:t xml:space="preserve">) </w:t>
            </w:r>
          </w:p>
          <w:p>
            <w:pPr>
              <w:jc w:val="left"/>
              <w:rPr>
                <w:rFonts w:hint="eastAsia" w:asciiTheme="minorEastAsia" w:hAnsiTheme="minorEastAsia" w:eastAsiaTheme="minorEastAsia" w:cstheme="minorEastAsia"/>
                <w:color w:val="000000"/>
                <w:sz w:val="18"/>
                <w:szCs w:val="18"/>
                <w:highlight w:val="none"/>
                <w:lang w:eastAsia="zh-CN"/>
              </w:rPr>
            </w:pPr>
            <w:r>
              <w:rPr>
                <w:rFonts w:hint="eastAsia" w:asciiTheme="minorEastAsia" w:hAnsiTheme="minorEastAsia" w:eastAsiaTheme="minorEastAsia" w:cstheme="minorEastAsia"/>
                <w:color w:val="000000"/>
                <w:sz w:val="18"/>
                <w:szCs w:val="18"/>
                <w:highlight w:val="none"/>
              </w:rPr>
              <w:t>9</w:t>
            </w:r>
            <w:r>
              <w:rPr>
                <w:rFonts w:hint="eastAsia" w:asciiTheme="minorEastAsia" w:hAnsiTheme="minorEastAsia" w:eastAsiaTheme="minorEastAsia" w:cstheme="minorEastAsia"/>
                <w:color w:val="000000"/>
                <w:sz w:val="18"/>
                <w:szCs w:val="18"/>
                <w:highlight w:val="none"/>
                <w:lang w:val="zh-CN"/>
              </w:rPr>
              <w:t>、通信接口功能</w:t>
            </w:r>
            <w:r>
              <w:rPr>
                <w:rFonts w:hint="eastAsia" w:asciiTheme="minorEastAsia" w:hAnsiTheme="minorEastAsia" w:eastAsiaTheme="minorEastAsia" w:cstheme="minorEastAsia"/>
                <w:color w:val="000000"/>
                <w:sz w:val="18"/>
                <w:szCs w:val="18"/>
                <w:highlight w:val="none"/>
              </w:rPr>
              <w:t xml:space="preserve">：Centronics </w:t>
            </w:r>
            <w:r>
              <w:rPr>
                <w:rFonts w:hint="eastAsia" w:asciiTheme="minorEastAsia" w:hAnsiTheme="minorEastAsia" w:eastAsiaTheme="minorEastAsia" w:cstheme="minorEastAsia"/>
                <w:color w:val="000000"/>
                <w:sz w:val="18"/>
                <w:szCs w:val="18"/>
                <w:highlight w:val="none"/>
                <w:lang w:val="zh-CN"/>
              </w:rPr>
              <w:t>并行</w:t>
            </w:r>
            <w:r>
              <w:rPr>
                <w:rFonts w:hint="eastAsia" w:asciiTheme="minorEastAsia" w:hAnsiTheme="minorEastAsia" w:eastAsiaTheme="minorEastAsia" w:cstheme="minorEastAsia"/>
                <w:color w:val="000000"/>
                <w:sz w:val="18"/>
                <w:szCs w:val="18"/>
                <w:highlight w:val="none"/>
              </w:rPr>
              <w:t>(36</w:t>
            </w:r>
            <w:r>
              <w:rPr>
                <w:rFonts w:hint="eastAsia" w:asciiTheme="minorEastAsia" w:hAnsiTheme="minorEastAsia" w:eastAsiaTheme="minorEastAsia" w:cstheme="minorEastAsia"/>
                <w:color w:val="000000"/>
                <w:sz w:val="18"/>
                <w:szCs w:val="18"/>
                <w:highlight w:val="none"/>
                <w:lang w:val="zh-CN"/>
              </w:rPr>
              <w:t>针</w:t>
            </w:r>
            <w:r>
              <w:rPr>
                <w:rFonts w:hint="eastAsia" w:asciiTheme="minorEastAsia" w:hAnsiTheme="minorEastAsia" w:eastAsiaTheme="minorEastAsia" w:cstheme="minorEastAsia"/>
                <w:color w:val="000000"/>
                <w:sz w:val="18"/>
                <w:szCs w:val="18"/>
                <w:highlight w:val="none"/>
              </w:rPr>
              <w:t>)</w:t>
            </w:r>
            <w:r>
              <w:rPr>
                <w:rFonts w:hint="eastAsia" w:asciiTheme="minorEastAsia" w:hAnsiTheme="minorEastAsia" w:eastAsiaTheme="minorEastAsia" w:cstheme="minorEastAsia"/>
                <w:color w:val="000000"/>
                <w:sz w:val="18"/>
                <w:szCs w:val="18"/>
                <w:highlight w:val="none"/>
                <w:lang w:val="zh-CN"/>
              </w:rPr>
              <w:t>连接器接口</w:t>
            </w:r>
            <w:r>
              <w:rPr>
                <w:rFonts w:hint="eastAsia" w:asciiTheme="minorEastAsia" w:hAnsiTheme="minorEastAsia" w:eastAsiaTheme="minorEastAsia" w:cstheme="minorEastAsia"/>
                <w:color w:val="000000"/>
                <w:sz w:val="18"/>
                <w:szCs w:val="18"/>
                <w:highlight w:val="none"/>
              </w:rPr>
              <w:t>；RS-232</w:t>
            </w:r>
            <w:r>
              <w:rPr>
                <w:rFonts w:hint="eastAsia" w:asciiTheme="minorEastAsia" w:hAnsiTheme="minorEastAsia" w:eastAsiaTheme="minorEastAsia" w:cstheme="minorEastAsia"/>
                <w:color w:val="000000"/>
                <w:sz w:val="18"/>
                <w:szCs w:val="18"/>
                <w:highlight w:val="none"/>
                <w:lang w:val="zh-CN"/>
              </w:rPr>
              <w:t>串行接口</w:t>
            </w:r>
            <w:r>
              <w:rPr>
                <w:rFonts w:hint="eastAsia" w:asciiTheme="minorEastAsia" w:hAnsiTheme="minorEastAsia" w:eastAsiaTheme="minorEastAsia" w:cstheme="minorEastAsia"/>
                <w:color w:val="000000"/>
                <w:sz w:val="18"/>
                <w:szCs w:val="18"/>
                <w:highlight w:val="none"/>
              </w:rPr>
              <w:t>；USB</w:t>
            </w:r>
            <w:r>
              <w:rPr>
                <w:rFonts w:hint="eastAsia" w:asciiTheme="minorEastAsia" w:hAnsiTheme="minorEastAsia" w:eastAsiaTheme="minorEastAsia" w:cstheme="minorEastAsia"/>
                <w:color w:val="000000"/>
                <w:sz w:val="18"/>
                <w:szCs w:val="18"/>
                <w:highlight w:val="none"/>
                <w:lang w:val="zh-CN"/>
              </w:rPr>
              <w:t>接口</w:t>
            </w:r>
            <w:r>
              <w:rPr>
                <w:rFonts w:hint="eastAsia" w:asciiTheme="minorEastAsia" w:hAnsiTheme="minorEastAsia" w:eastAsiaTheme="minorEastAsia" w:cstheme="minorEastAsia"/>
                <w:color w:val="000000"/>
                <w:sz w:val="18"/>
                <w:szCs w:val="18"/>
                <w:highlight w:val="none"/>
              </w:rPr>
              <w:t>，</w:t>
            </w:r>
            <w:r>
              <w:rPr>
                <w:rFonts w:hint="eastAsia" w:asciiTheme="minorEastAsia" w:hAnsiTheme="minorEastAsia" w:eastAsiaTheme="minorEastAsia" w:cstheme="minorEastAsia"/>
                <w:color w:val="000000"/>
                <w:sz w:val="18"/>
                <w:szCs w:val="18"/>
                <w:highlight w:val="none"/>
                <w:lang w:val="zh-CN"/>
              </w:rPr>
              <w:t>双向</w:t>
            </w:r>
            <w:r>
              <w:rPr>
                <w:rFonts w:hint="eastAsia" w:asciiTheme="minorEastAsia" w:hAnsiTheme="minorEastAsia" w:eastAsiaTheme="minorEastAsia" w:cstheme="minorEastAsia"/>
                <w:color w:val="000000"/>
                <w:sz w:val="18"/>
                <w:szCs w:val="18"/>
                <w:highlight w:val="none"/>
                <w:lang w:eastAsia="zh-CN"/>
              </w:rPr>
              <w:t>。</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1"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7</w:t>
            </w:r>
          </w:p>
        </w:tc>
        <w:tc>
          <w:tcPr>
            <w:tcW w:w="1176" w:type="dxa"/>
            <w:vAlign w:val="center"/>
          </w:tcPr>
          <w:p>
            <w:pPr>
              <w:jc w:val="center"/>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平板电脑</w:t>
            </w:r>
          </w:p>
        </w:tc>
        <w:tc>
          <w:tcPr>
            <w:tcW w:w="6984" w:type="dxa"/>
          </w:tcPr>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lang w:val="zh-CN"/>
              </w:rPr>
              <w:t>支持全网通4G+WIFI联网；</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2、</w:t>
            </w:r>
            <w:r>
              <w:rPr>
                <w:rFonts w:hint="eastAsia" w:asciiTheme="minorEastAsia" w:hAnsiTheme="minorEastAsia" w:eastAsiaTheme="minorEastAsia" w:cstheme="minorEastAsia"/>
                <w:color w:val="000000"/>
                <w:sz w:val="18"/>
                <w:szCs w:val="18"/>
                <w:highlight w:val="none"/>
                <w:lang w:val="zh-CN"/>
              </w:rPr>
              <w:t>CPU：Hisilicon Kirin 710八核处理器及以上；</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3、</w:t>
            </w:r>
            <w:r>
              <w:rPr>
                <w:rFonts w:hint="eastAsia" w:asciiTheme="minorEastAsia" w:hAnsiTheme="minorEastAsia" w:eastAsiaTheme="minorEastAsia" w:cstheme="minorEastAsia"/>
                <w:color w:val="000000"/>
                <w:sz w:val="18"/>
                <w:szCs w:val="18"/>
                <w:highlight w:val="none"/>
                <w:lang w:val="zh-CN"/>
              </w:rPr>
              <w:t>≥8.0英寸高清屏，分辨率≥1200*1920，支持护眼模式；</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4、</w:t>
            </w:r>
            <w:r>
              <w:rPr>
                <w:rFonts w:hint="eastAsia" w:asciiTheme="minorEastAsia" w:hAnsiTheme="minorEastAsia" w:eastAsiaTheme="minorEastAsia" w:cstheme="minorEastAsia"/>
                <w:color w:val="000000"/>
                <w:sz w:val="18"/>
                <w:szCs w:val="18"/>
                <w:highlight w:val="none"/>
                <w:lang w:val="zh-CN"/>
              </w:rPr>
              <w:t>主摄像头≥1300万像素，副摄像头≥800万像素；</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5、</w:t>
            </w:r>
            <w:r>
              <w:rPr>
                <w:rFonts w:hint="eastAsia" w:asciiTheme="minorEastAsia" w:hAnsiTheme="minorEastAsia" w:eastAsiaTheme="minorEastAsia" w:cstheme="minorEastAsia"/>
                <w:color w:val="000000"/>
                <w:sz w:val="18"/>
                <w:szCs w:val="18"/>
                <w:highlight w:val="none"/>
                <w:lang w:val="zh-CN"/>
              </w:rPr>
              <w:t>内存：4GB及以上；</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6、</w:t>
            </w:r>
            <w:r>
              <w:rPr>
                <w:rFonts w:hint="eastAsia" w:asciiTheme="minorEastAsia" w:hAnsiTheme="minorEastAsia" w:eastAsiaTheme="minorEastAsia" w:cstheme="minorEastAsia"/>
                <w:color w:val="000000"/>
                <w:sz w:val="18"/>
                <w:szCs w:val="18"/>
                <w:highlight w:val="none"/>
                <w:lang w:val="zh-CN"/>
              </w:rPr>
              <w:t>存储容量：标配32GB及以上；</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7、</w:t>
            </w:r>
            <w:r>
              <w:rPr>
                <w:rFonts w:hint="eastAsia" w:asciiTheme="minorEastAsia" w:hAnsiTheme="minorEastAsia" w:eastAsiaTheme="minorEastAsia" w:cstheme="minorEastAsia"/>
                <w:color w:val="000000"/>
                <w:sz w:val="18"/>
                <w:szCs w:val="18"/>
                <w:highlight w:val="none"/>
                <w:lang w:val="zh-CN"/>
              </w:rPr>
              <w:t>电池容量：5100mAh及以上</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8、</w:t>
            </w:r>
            <w:r>
              <w:rPr>
                <w:rFonts w:hint="eastAsia" w:asciiTheme="minorEastAsia" w:hAnsiTheme="minorEastAsia" w:eastAsiaTheme="minorEastAsia" w:cstheme="minorEastAsia"/>
                <w:color w:val="000000"/>
                <w:sz w:val="18"/>
                <w:szCs w:val="18"/>
                <w:highlight w:val="none"/>
                <w:lang w:val="zh-CN"/>
              </w:rPr>
              <w:t>其他参数：支持蓝牙功能、护眼模式、学生模式、AI智能声控；</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9、</w:t>
            </w:r>
            <w:r>
              <w:rPr>
                <w:rFonts w:hint="eastAsia" w:asciiTheme="minorEastAsia" w:hAnsiTheme="minorEastAsia" w:eastAsiaTheme="minorEastAsia" w:cstheme="minorEastAsia"/>
                <w:color w:val="000000"/>
                <w:sz w:val="18"/>
                <w:szCs w:val="18"/>
                <w:highlight w:val="none"/>
                <w:lang w:val="zh-CN"/>
              </w:rPr>
              <w:t>操作系统：Android 9及以上。</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5台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8</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身高体重秤</w:t>
            </w:r>
          </w:p>
        </w:tc>
        <w:tc>
          <w:tcPr>
            <w:tcW w:w="6984" w:type="dxa"/>
          </w:tcPr>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lang w:val="zh-CN"/>
              </w:rPr>
              <w:t>身高测量范围（精度）：78-142cm（±0.5cm）；</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2、</w:t>
            </w:r>
            <w:r>
              <w:rPr>
                <w:rFonts w:hint="eastAsia" w:asciiTheme="minorEastAsia" w:hAnsiTheme="minorEastAsia" w:eastAsiaTheme="minorEastAsia" w:cstheme="minorEastAsia"/>
                <w:color w:val="000000"/>
                <w:sz w:val="18"/>
                <w:szCs w:val="18"/>
                <w:highlight w:val="none"/>
                <w:lang w:val="zh-CN"/>
              </w:rPr>
              <w:t>体重测量范围（精度）：0-60kg（±0.05kg）；</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3、</w:t>
            </w:r>
            <w:r>
              <w:rPr>
                <w:rFonts w:hint="eastAsia" w:asciiTheme="minorEastAsia" w:hAnsiTheme="minorEastAsia" w:eastAsiaTheme="minorEastAsia" w:cstheme="minorEastAsia"/>
                <w:color w:val="000000"/>
                <w:sz w:val="18"/>
                <w:szCs w:val="18"/>
                <w:highlight w:val="none"/>
                <w:lang w:val="zh-CN"/>
              </w:rPr>
              <w:t>输出端口RS232，可与PC机联网通讯并组网管理；</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4、</w:t>
            </w:r>
            <w:r>
              <w:rPr>
                <w:rFonts w:hint="eastAsia" w:asciiTheme="minorEastAsia" w:hAnsiTheme="minorEastAsia" w:eastAsiaTheme="minorEastAsia" w:cstheme="minorEastAsia"/>
                <w:color w:val="000000"/>
                <w:sz w:val="18"/>
                <w:szCs w:val="18"/>
                <w:highlight w:val="none"/>
                <w:lang w:val="zh-CN"/>
              </w:rPr>
              <w:t>供电电源：使用电源适配器 交流输入100-240V 直流输出9V 0.6A；</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5、</w:t>
            </w:r>
            <w:r>
              <w:rPr>
                <w:rFonts w:hint="eastAsia" w:asciiTheme="minorEastAsia" w:hAnsiTheme="minorEastAsia" w:eastAsiaTheme="minorEastAsia" w:cstheme="minorEastAsia"/>
                <w:color w:val="000000"/>
                <w:sz w:val="18"/>
                <w:szCs w:val="18"/>
                <w:highlight w:val="none"/>
                <w:lang w:val="zh-CN"/>
              </w:rPr>
              <w:t>产品需自带语音播报的功能，具有遥控开关；</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6、</w:t>
            </w:r>
            <w:r>
              <w:rPr>
                <w:rFonts w:hint="eastAsia" w:asciiTheme="minorEastAsia" w:hAnsiTheme="minorEastAsia" w:eastAsiaTheme="minorEastAsia" w:cstheme="minorEastAsia"/>
                <w:color w:val="000000"/>
                <w:sz w:val="18"/>
                <w:szCs w:val="18"/>
                <w:highlight w:val="none"/>
                <w:lang w:val="zh-CN"/>
              </w:rPr>
              <w:t>机械式身高体重秤，适合3-7岁幼儿使用。</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3"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9</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工作站</w:t>
            </w:r>
          </w:p>
        </w:tc>
        <w:tc>
          <w:tcPr>
            <w:tcW w:w="6984" w:type="dxa"/>
          </w:tcPr>
          <w:p>
            <w:p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1、CPU：英特尔：i3-12100及以上处理器。</w:t>
            </w:r>
          </w:p>
          <w:p>
            <w:p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2、内存：DDR4 8GB及以上内存。</w:t>
            </w:r>
          </w:p>
          <w:p>
            <w:p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3、硬盘：256GB固态硬盘+1TB机械硬盘。</w:t>
            </w:r>
          </w:p>
          <w:p>
            <w:p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4、显卡：集成显卡。</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5、显示器：</w:t>
            </w:r>
            <w:r>
              <w:rPr>
                <w:rFonts w:hint="eastAsia" w:asciiTheme="minorEastAsia" w:hAnsiTheme="minorEastAsia" w:eastAsiaTheme="minorEastAsia" w:cstheme="minorEastAsia"/>
                <w:color w:val="000000"/>
                <w:sz w:val="18"/>
                <w:szCs w:val="18"/>
                <w:highlight w:val="none"/>
                <w:lang w:val="zh-CN"/>
              </w:rPr>
              <w:t>≥</w:t>
            </w:r>
            <w:r>
              <w:rPr>
                <w:rFonts w:hint="eastAsia" w:asciiTheme="minorEastAsia" w:hAnsiTheme="minorEastAsia" w:eastAsiaTheme="minorEastAsia" w:cstheme="minorEastAsia"/>
                <w:color w:val="000000"/>
                <w:sz w:val="18"/>
                <w:szCs w:val="18"/>
                <w:highlight w:val="none"/>
              </w:rPr>
              <w:t>23.8英寸显示器。</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10</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扫码平台</w:t>
            </w:r>
          </w:p>
        </w:tc>
        <w:tc>
          <w:tcPr>
            <w:tcW w:w="6984" w:type="dxa"/>
          </w:tcPr>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w:t>
            </w:r>
            <w:r>
              <w:rPr>
                <w:rFonts w:hint="eastAsia" w:asciiTheme="minorEastAsia" w:hAnsiTheme="minorEastAsia" w:eastAsiaTheme="minorEastAsia" w:cstheme="minorEastAsia"/>
                <w:color w:val="000000"/>
                <w:sz w:val="18"/>
                <w:szCs w:val="18"/>
                <w:highlight w:val="none"/>
                <w:lang w:val="zh-CN"/>
              </w:rPr>
              <w:t>扫描模式：激光式；</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2、</w:t>
            </w:r>
            <w:r>
              <w:rPr>
                <w:rFonts w:hint="eastAsia" w:asciiTheme="minorEastAsia" w:hAnsiTheme="minorEastAsia" w:eastAsiaTheme="minorEastAsia" w:cstheme="minorEastAsia"/>
                <w:color w:val="000000"/>
                <w:sz w:val="18"/>
                <w:szCs w:val="18"/>
                <w:highlight w:val="none"/>
                <w:lang w:val="zh-CN"/>
              </w:rPr>
              <w:t>光源：波长为650nm±10nm的镭射激光；</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3、</w:t>
            </w:r>
            <w:r>
              <w:rPr>
                <w:rFonts w:hint="eastAsia" w:asciiTheme="minorEastAsia" w:hAnsiTheme="minorEastAsia" w:eastAsiaTheme="minorEastAsia" w:cstheme="minorEastAsia"/>
                <w:color w:val="000000"/>
                <w:sz w:val="18"/>
                <w:szCs w:val="18"/>
                <w:highlight w:val="none"/>
                <w:lang w:val="zh-CN"/>
              </w:rPr>
              <w:t>可识别码 EAN-8，EAN-13,Code11，Code39，Code93，Code128，EAN-8，EAN-13,工业25码，交叉25码，ISBN、矩阵25码，MSI，UPC-A，UPC-E，中国邮政码；</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4、</w:t>
            </w:r>
            <w:r>
              <w:rPr>
                <w:rFonts w:hint="eastAsia" w:asciiTheme="minorEastAsia" w:hAnsiTheme="minorEastAsia" w:eastAsiaTheme="minorEastAsia" w:cstheme="minorEastAsia"/>
                <w:color w:val="000000"/>
                <w:sz w:val="18"/>
                <w:szCs w:val="18"/>
                <w:highlight w:val="none"/>
                <w:lang w:val="zh-CN"/>
              </w:rPr>
              <w:t>读码密度≥5mil；</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5、</w:t>
            </w:r>
            <w:r>
              <w:rPr>
                <w:rFonts w:hint="eastAsia" w:asciiTheme="minorEastAsia" w:hAnsiTheme="minorEastAsia" w:eastAsiaTheme="minorEastAsia" w:cstheme="minorEastAsia"/>
                <w:color w:val="000000"/>
                <w:sz w:val="18"/>
                <w:szCs w:val="18"/>
                <w:highlight w:val="none"/>
                <w:lang w:val="zh-CN"/>
              </w:rPr>
              <w:t>工作电压DC5V±0.5V；</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6、</w:t>
            </w:r>
            <w:r>
              <w:rPr>
                <w:rFonts w:hint="eastAsia" w:asciiTheme="minorEastAsia" w:hAnsiTheme="minorEastAsia" w:eastAsiaTheme="minorEastAsia" w:cstheme="minorEastAsia"/>
                <w:color w:val="000000"/>
                <w:sz w:val="18"/>
                <w:szCs w:val="18"/>
                <w:highlight w:val="none"/>
                <w:lang w:val="zh-CN"/>
              </w:rPr>
              <w:t>工作电流0.265A～</w:t>
            </w:r>
            <w:r>
              <w:rPr>
                <w:rFonts w:hint="eastAsia" w:asciiTheme="minorEastAsia" w:hAnsiTheme="minorEastAsia" w:eastAsiaTheme="minorEastAsia" w:cstheme="minorEastAsia"/>
                <w:color w:val="000000"/>
                <w:sz w:val="18"/>
                <w:szCs w:val="18"/>
                <w:highlight w:val="none"/>
                <w:lang w:val="en-US" w:eastAsia="zh-CN"/>
              </w:rPr>
              <w:t>0.34A</w:t>
            </w:r>
            <w:r>
              <w:rPr>
                <w:rFonts w:hint="eastAsia" w:asciiTheme="minorEastAsia" w:hAnsiTheme="minorEastAsia" w:eastAsiaTheme="minorEastAsia" w:cstheme="minorEastAsia"/>
                <w:color w:val="000000"/>
                <w:sz w:val="18"/>
                <w:szCs w:val="18"/>
                <w:highlight w:val="none"/>
                <w:lang w:val="zh-CN"/>
              </w:rPr>
              <w:t>；</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7、</w:t>
            </w:r>
            <w:r>
              <w:rPr>
                <w:rFonts w:hint="eastAsia" w:asciiTheme="minorEastAsia" w:hAnsiTheme="minorEastAsia" w:eastAsiaTheme="minorEastAsia" w:cstheme="minorEastAsia"/>
                <w:color w:val="000000"/>
                <w:sz w:val="18"/>
                <w:szCs w:val="18"/>
                <w:highlight w:val="none"/>
                <w:lang w:val="zh-CN"/>
              </w:rPr>
              <w:t>工作温度-10℃～+40℃；</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8、</w:t>
            </w:r>
            <w:r>
              <w:rPr>
                <w:rFonts w:hint="eastAsia" w:asciiTheme="minorEastAsia" w:hAnsiTheme="minorEastAsia" w:eastAsiaTheme="minorEastAsia" w:cstheme="minorEastAsia"/>
                <w:color w:val="000000"/>
                <w:sz w:val="18"/>
                <w:szCs w:val="18"/>
                <w:highlight w:val="none"/>
                <w:lang w:val="zh-CN"/>
              </w:rPr>
              <w:t>工作湿度5%～90%（无凝结）；</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9、</w:t>
            </w:r>
            <w:r>
              <w:rPr>
                <w:rFonts w:hint="eastAsia" w:asciiTheme="minorEastAsia" w:hAnsiTheme="minorEastAsia" w:eastAsiaTheme="minorEastAsia" w:cstheme="minorEastAsia"/>
                <w:color w:val="000000"/>
                <w:sz w:val="18"/>
                <w:szCs w:val="18"/>
                <w:highlight w:val="none"/>
                <w:lang w:val="zh-CN"/>
              </w:rPr>
              <w:t>提示方式 蜂鸣器、指示灯；</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10、</w:t>
            </w:r>
            <w:r>
              <w:rPr>
                <w:rFonts w:hint="eastAsia" w:asciiTheme="minorEastAsia" w:hAnsiTheme="minorEastAsia" w:eastAsiaTheme="minorEastAsia" w:cstheme="minorEastAsia"/>
                <w:color w:val="000000"/>
                <w:sz w:val="18"/>
                <w:szCs w:val="18"/>
                <w:highlight w:val="none"/>
                <w:lang w:val="zh-CN"/>
              </w:rPr>
              <w:t>接口类型USB；</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11、</w:t>
            </w:r>
            <w:r>
              <w:rPr>
                <w:rFonts w:hint="eastAsia" w:asciiTheme="minorEastAsia" w:hAnsiTheme="minorEastAsia" w:eastAsiaTheme="minorEastAsia" w:cstheme="minorEastAsia"/>
                <w:color w:val="000000"/>
                <w:sz w:val="18"/>
                <w:szCs w:val="18"/>
                <w:highlight w:val="none"/>
                <w:lang w:val="zh-CN"/>
              </w:rPr>
              <w:t>抗震能力可通过1.0米自由落体测试；</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rPr>
              <w:t>12、</w:t>
            </w:r>
            <w:r>
              <w:rPr>
                <w:rFonts w:hint="eastAsia" w:asciiTheme="minorEastAsia" w:hAnsiTheme="minorEastAsia" w:eastAsiaTheme="minorEastAsia" w:cstheme="minorEastAsia"/>
                <w:color w:val="000000"/>
                <w:sz w:val="18"/>
                <w:szCs w:val="18"/>
                <w:highlight w:val="none"/>
                <w:lang w:val="zh-CN"/>
              </w:rPr>
              <w:t>使用方式：立式。</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11</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手持式扫码枪</w:t>
            </w:r>
          </w:p>
        </w:tc>
        <w:tc>
          <w:tcPr>
            <w:tcW w:w="6984" w:type="dxa"/>
          </w:tcPr>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1、扫描模式：激光式；</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2、光源：波长为650nm±10nm的镭射激光；</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3、可识别码 EAN-8，EAN-13,Code11，Code39，Code93，Code128，EAN-8，EAN-13,工业25码，交叉25码，ISBN、矩阵25码，MSI，UPC-A，UPC-E，中国邮政码；</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4、读码密度：≥5mil；</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5、工作电压：DC5V±0.5V；</w:t>
            </w:r>
          </w:p>
          <w:p>
            <w:pPr>
              <w:jc w:val="left"/>
              <w:rPr>
                <w:rFonts w:hint="default"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rPr>
              <w:t>6、工作电流：0.265A</w:t>
            </w:r>
            <w:r>
              <w:rPr>
                <w:rFonts w:hint="eastAsia" w:asciiTheme="minorEastAsia" w:hAnsiTheme="minorEastAsia" w:eastAsiaTheme="minorEastAsia" w:cstheme="minorEastAsia"/>
                <w:color w:val="000000"/>
                <w:sz w:val="18"/>
                <w:szCs w:val="18"/>
                <w:highlight w:val="none"/>
                <w:lang w:val="zh-CN"/>
              </w:rPr>
              <w:t>～</w:t>
            </w:r>
            <w:r>
              <w:rPr>
                <w:rFonts w:hint="eastAsia" w:asciiTheme="minorEastAsia" w:hAnsiTheme="minorEastAsia" w:eastAsiaTheme="minorEastAsia" w:cstheme="minorEastAsia"/>
                <w:sz w:val="18"/>
                <w:szCs w:val="18"/>
                <w:highlight w:val="none"/>
                <w:lang w:val="en-US" w:eastAsia="zh-CN"/>
              </w:rPr>
              <w:t>0.34A</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7、工作温度：-10℃~+40℃；</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8、工作湿度：5%~90%（无凝结）；</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9、提示方式：蜂鸣器、指示灯；</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10、接口类型：USB；</w:t>
            </w:r>
          </w:p>
          <w:p>
            <w:pPr>
              <w:jc w:val="left"/>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sz w:val="18"/>
                <w:szCs w:val="18"/>
                <w:highlight w:val="none"/>
              </w:rPr>
              <w:t>11、抗震能力：可通过1.0米自由落体测试；</w:t>
            </w:r>
          </w:p>
          <w:p>
            <w:pPr>
              <w:jc w:val="left"/>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sz w:val="18"/>
                <w:szCs w:val="18"/>
                <w:highlight w:val="none"/>
              </w:rPr>
              <w:t>12、使用方式：手持式。</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2台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8"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12</w:t>
            </w:r>
          </w:p>
        </w:tc>
        <w:tc>
          <w:tcPr>
            <w:tcW w:w="117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服务器</w:t>
            </w:r>
          </w:p>
        </w:tc>
        <w:tc>
          <w:tcPr>
            <w:tcW w:w="6984" w:type="dxa"/>
          </w:tcPr>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1、CPU：(2.5GHz/20核/）</w:t>
            </w:r>
            <w:r>
              <w:rPr>
                <w:rFonts w:hint="eastAsia" w:asciiTheme="minorEastAsia" w:hAnsiTheme="minorEastAsia" w:eastAsiaTheme="minorEastAsia" w:cstheme="minorEastAsia"/>
                <w:color w:val="000000"/>
                <w:sz w:val="18"/>
                <w:szCs w:val="18"/>
                <w:highlight w:val="none"/>
                <w:lang w:val="en-US" w:eastAsia="zh-CN"/>
              </w:rPr>
              <w:t>品牌</w:t>
            </w:r>
            <w:bookmarkStart w:id="0" w:name="_GoBack"/>
            <w:bookmarkEnd w:id="0"/>
            <w:r>
              <w:rPr>
                <w:rFonts w:hint="eastAsia" w:asciiTheme="minorEastAsia" w:hAnsiTheme="minorEastAsia" w:eastAsiaTheme="minorEastAsia" w:cstheme="minorEastAsia"/>
                <w:color w:val="000000"/>
                <w:sz w:val="18"/>
                <w:szCs w:val="18"/>
                <w:highlight w:val="none"/>
                <w:lang w:val="zh-CN"/>
              </w:rPr>
              <w:t>处理器</w:t>
            </w:r>
            <w:r>
              <w:rPr>
                <w:rFonts w:hint="eastAsia" w:asciiTheme="minorEastAsia" w:hAnsiTheme="minorEastAsia" w:eastAsiaTheme="minorEastAsia" w:cstheme="minorEastAsia"/>
                <w:color w:val="000000"/>
                <w:sz w:val="18"/>
                <w:szCs w:val="18"/>
                <w:highlight w:val="none"/>
                <w:lang w:val="en-US" w:eastAsia="zh-CN"/>
              </w:rPr>
              <w:t>2台</w:t>
            </w:r>
            <w:r>
              <w:rPr>
                <w:rFonts w:hint="eastAsia" w:asciiTheme="minorEastAsia" w:hAnsiTheme="minorEastAsia" w:eastAsiaTheme="minorEastAsia" w:cstheme="minorEastAsia"/>
                <w:color w:val="000000"/>
                <w:sz w:val="18"/>
                <w:szCs w:val="18"/>
                <w:highlight w:val="none"/>
                <w:lang w:val="zh-CN"/>
              </w:rPr>
              <w:t>；</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2、内存：≥2*32G DDR4；</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3、硬盘：3*600G SAS 10K硬盘；</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4、磁盘整列：SR430-1G RAID 0 1 5阵列卡；</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5、网口：2*GE+2*10GE；</w:t>
            </w:r>
          </w:p>
          <w:p>
            <w:pPr>
              <w:jc w:val="left"/>
              <w:rPr>
                <w:rFonts w:asciiTheme="minorEastAsia" w:hAnsiTheme="minorEastAsia" w:eastAsiaTheme="minorEastAsia" w:cstheme="minorEastAsia"/>
                <w:color w:val="000000"/>
                <w:sz w:val="18"/>
                <w:szCs w:val="18"/>
                <w:highlight w:val="none"/>
                <w:lang w:val="zh-CN"/>
              </w:rPr>
            </w:pPr>
            <w:r>
              <w:rPr>
                <w:rFonts w:hint="eastAsia" w:asciiTheme="minorEastAsia" w:hAnsiTheme="minorEastAsia" w:eastAsiaTheme="minorEastAsia" w:cstheme="minorEastAsia"/>
                <w:color w:val="000000"/>
                <w:sz w:val="18"/>
                <w:szCs w:val="18"/>
                <w:highlight w:val="none"/>
                <w:lang w:val="zh-CN"/>
              </w:rPr>
              <w:t>6、电源：1*900w电源。</w:t>
            </w:r>
          </w:p>
        </w:tc>
        <w:tc>
          <w:tcPr>
            <w:tcW w:w="786" w:type="dxa"/>
            <w:vAlign w:val="center"/>
          </w:tcPr>
          <w:p>
            <w:pPr>
              <w:jc w:val="center"/>
              <w:rPr>
                <w:rFonts w:asciiTheme="minorEastAsia" w:hAnsiTheme="minorEastAsia" w:eastAsiaTheme="minorEastAsia" w:cstheme="minorEastAsia"/>
                <w:color w:val="000000"/>
                <w:sz w:val="18"/>
                <w:szCs w:val="18"/>
                <w:highlight w:val="none"/>
              </w:rPr>
            </w:pPr>
            <w:r>
              <w:rPr>
                <w:rFonts w:hint="eastAsia" w:asciiTheme="minorEastAsia" w:hAnsiTheme="minorEastAsia" w:eastAsiaTheme="minorEastAsia" w:cstheme="minorEastAsia"/>
                <w:color w:val="000000"/>
                <w:sz w:val="18"/>
                <w:szCs w:val="18"/>
                <w:highlight w:val="none"/>
              </w:rPr>
              <w:t>1台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jc w:val="center"/>
        </w:trPr>
        <w:tc>
          <w:tcPr>
            <w:tcW w:w="9504" w:type="dxa"/>
            <w:gridSpan w:val="4"/>
            <w:vAlign w:val="center"/>
          </w:tcPr>
          <w:p>
            <w:pPr>
              <w:spacing w:line="360" w:lineRule="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注：</w:t>
            </w:r>
          </w:p>
          <w:p>
            <w:pPr>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1、响应文件中需提供儿童健康检查智慧云信息管理系统软件著作权证书扫描件。 </w:t>
            </w:r>
          </w:p>
          <w:p>
            <w:pPr>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2、响应文件中需提供集居儿童健康检查系统（移动端）软件著作权证书扫描件。</w:t>
            </w:r>
          </w:p>
          <w:p>
            <w:pPr>
              <w:spacing w:line="360" w:lineRule="auto"/>
              <w:jc w:val="left"/>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 xml:space="preserve">3、响应文件中需提供与软著名称一致且具有省级及以上软件评测中心颁发的测试证书扫描件。 </w:t>
            </w:r>
          </w:p>
          <w:p>
            <w:pPr>
              <w:spacing w:line="360" w:lineRule="auto"/>
              <w:jc w:val="left"/>
              <w:rPr>
                <w:rFonts w:asciiTheme="minorEastAsia" w:hAnsiTheme="minorEastAsia" w:eastAsiaTheme="minorEastAsia" w:cstheme="minorEastAsia"/>
                <w:color w:val="000000"/>
                <w:sz w:val="18"/>
                <w:szCs w:val="18"/>
                <w:highlight w:val="none"/>
              </w:rPr>
            </w:pPr>
            <w:r>
              <w:rPr>
                <w:rFonts w:hint="eastAsia" w:ascii="宋体" w:hAnsi="宋体" w:cs="宋体"/>
                <w:b/>
                <w:bCs/>
                <w:kern w:val="2"/>
                <w:sz w:val="21"/>
                <w:szCs w:val="21"/>
                <w:highlight w:val="none"/>
                <w:lang w:val="en-US" w:eastAsia="zh-CN" w:bidi="ar-SA"/>
              </w:rPr>
              <w:t>4、</w:t>
            </w:r>
            <w:r>
              <w:rPr>
                <w:rFonts w:hint="eastAsia" w:ascii="宋体" w:hAnsi="宋体" w:eastAsia="宋体" w:cs="宋体"/>
                <w:b/>
                <w:bCs/>
                <w:kern w:val="2"/>
                <w:sz w:val="21"/>
                <w:szCs w:val="21"/>
                <w:highlight w:val="none"/>
                <w:lang w:val="en-US" w:eastAsia="zh-CN" w:bidi="ar-SA"/>
              </w:rPr>
              <w:t>上述技术参数要求中，标★项所述参数为必须满足项，不满足的视为符合性评审不通过。</w:t>
            </w:r>
          </w:p>
        </w:tc>
      </w:tr>
    </w:tbl>
    <w:p>
      <w:pPr>
        <w:spacing w:line="360" w:lineRule="auto"/>
        <w:rPr>
          <w:rFonts w:ascii="宋体" w:hAnsi="宋体" w:cs="宋体"/>
          <w:b/>
          <w:bCs/>
          <w:szCs w:val="21"/>
          <w:highlight w:val="none"/>
        </w:rPr>
      </w:pPr>
      <w:r>
        <w:rPr>
          <w:rFonts w:hint="eastAsia" w:ascii="宋体" w:hAnsi="宋体" w:cs="宋体"/>
          <w:b/>
          <w:bCs/>
          <w:szCs w:val="21"/>
          <w:highlight w:val="none"/>
        </w:rPr>
        <w:t xml:space="preserve"> 三、报价要求</w:t>
      </w:r>
    </w:p>
    <w:p>
      <w:pPr>
        <w:pStyle w:val="5"/>
        <w:spacing w:line="360" w:lineRule="auto"/>
        <w:ind w:firstLineChars="200"/>
        <w:rPr>
          <w:rFonts w:hAnsi="宋体" w:cs="宋体"/>
          <w:kern w:val="2"/>
          <w:sz w:val="21"/>
          <w:szCs w:val="21"/>
          <w:highlight w:val="none"/>
        </w:rPr>
      </w:pPr>
      <w:r>
        <w:rPr>
          <w:rFonts w:hint="eastAsia" w:hAnsi="宋体" w:cs="宋体"/>
          <w:kern w:val="2"/>
          <w:sz w:val="21"/>
          <w:szCs w:val="21"/>
          <w:highlight w:val="none"/>
        </w:rPr>
        <w:t>本项目按总价进行报价，其报价应包括但不限于所投产品、产品辅材、保险、税费、包装、运输、现场落地、调试、检测验收、技术支持、培训、售后服务以及为完成本项目所必须的其他辅助工作的相关费用等所有费用，供应商应充分踏勘现场后理性报价，一旦成交，采购人不再另行支付与本项目相关的任何费用，谈判响应人进行报价时应综合考虑。</w:t>
      </w:r>
    </w:p>
    <w:p>
      <w:pPr>
        <w:numPr>
          <w:ilvl w:val="0"/>
          <w:numId w:val="4"/>
        </w:numPr>
        <w:spacing w:line="360" w:lineRule="auto"/>
        <w:rPr>
          <w:rFonts w:ascii="宋体" w:hAnsi="宋体" w:cs="宋体"/>
          <w:b/>
          <w:bCs/>
          <w:szCs w:val="21"/>
          <w:highlight w:val="none"/>
          <w:lang w:val="zh-CN"/>
        </w:rPr>
      </w:pPr>
      <w:r>
        <w:rPr>
          <w:rFonts w:hint="eastAsia" w:ascii="宋体" w:hAnsi="宋体" w:cs="宋体"/>
          <w:b/>
          <w:bCs/>
          <w:szCs w:val="21"/>
          <w:highlight w:val="none"/>
          <w:lang w:val="zh-CN"/>
        </w:rPr>
        <w:t>验收：</w:t>
      </w:r>
    </w:p>
    <w:p>
      <w:pPr>
        <w:spacing w:line="360" w:lineRule="auto"/>
        <w:ind w:firstLine="420" w:firstLineChars="200"/>
        <w:rPr>
          <w:rFonts w:ascii="宋体" w:hAnsi="宋体" w:cs="宋体"/>
          <w:b/>
          <w:bCs/>
          <w:szCs w:val="21"/>
          <w:highlight w:val="none"/>
        </w:rPr>
      </w:pPr>
      <w:r>
        <w:rPr>
          <w:rFonts w:hint="eastAsia" w:ascii="宋体" w:hAnsi="宋体" w:cs="宋体"/>
          <w:kern w:val="0"/>
          <w:szCs w:val="21"/>
          <w:highlight w:val="none"/>
        </w:rPr>
        <w:t>采购人与成交供应商双方共同实施验收工作，验收合格后，结果和验收报告经双方确认后生效。</w:t>
      </w:r>
      <w:r>
        <w:rPr>
          <w:rFonts w:hint="eastAsia" w:ascii="宋体" w:hAnsi="宋体" w:cs="宋体"/>
          <w:b/>
          <w:bCs/>
          <w:szCs w:val="21"/>
          <w:highlight w:val="none"/>
        </w:rPr>
        <w:br w:type="textWrapping"/>
      </w:r>
      <w:r>
        <w:rPr>
          <w:rFonts w:hint="eastAsia" w:ascii="宋体" w:hAnsi="宋体" w:cs="宋体"/>
          <w:b/>
          <w:bCs/>
          <w:szCs w:val="21"/>
          <w:highlight w:val="none"/>
        </w:rPr>
        <w:t>五、付款方式</w:t>
      </w:r>
    </w:p>
    <w:p>
      <w:pPr>
        <w:spacing w:line="360" w:lineRule="auto"/>
        <w:ind w:firstLine="420" w:firstLineChars="200"/>
        <w:rPr>
          <w:rFonts w:ascii="宋体" w:hAnsi="宋体" w:cs="宋体"/>
          <w:szCs w:val="21"/>
          <w:highlight w:val="none"/>
        </w:rPr>
      </w:pPr>
      <w:r>
        <w:rPr>
          <w:rFonts w:hint="eastAsia" w:ascii="宋体" w:hAnsi="宋体" w:cs="宋体"/>
          <w:kern w:val="0"/>
          <w:szCs w:val="21"/>
          <w:highlight w:val="none"/>
        </w:rPr>
        <w:t>本项目验收合格后支付项目金额的90%，验收合格满两年，支付项目金额的10%</w:t>
      </w:r>
      <w:r>
        <w:rPr>
          <w:rFonts w:hint="eastAsia" w:ascii="宋体" w:hAnsi="宋体" w:cs="宋体"/>
          <w:szCs w:val="21"/>
          <w:highlight w:val="none"/>
        </w:rPr>
        <w:t>。</w:t>
      </w:r>
    </w:p>
    <w:p>
      <w:pPr>
        <w:pStyle w:val="5"/>
        <w:spacing w:line="360" w:lineRule="auto"/>
        <w:ind w:firstLine="0"/>
        <w:rPr>
          <w:rFonts w:hAnsi="宋体" w:cs="宋体"/>
          <w:b/>
          <w:bCs/>
          <w:kern w:val="2"/>
          <w:sz w:val="21"/>
          <w:szCs w:val="21"/>
          <w:highlight w:val="none"/>
        </w:rPr>
      </w:pPr>
      <w:r>
        <w:rPr>
          <w:rFonts w:hint="eastAsia" w:hAnsi="宋体" w:cs="宋体"/>
          <w:b/>
          <w:bCs/>
          <w:kern w:val="2"/>
          <w:sz w:val="21"/>
          <w:szCs w:val="21"/>
          <w:highlight w:val="none"/>
        </w:rPr>
        <w:t>六、其他要求</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1、供应商提供的货物必须是全新、原装、合格正品，完全符合国家规定的质量标准和厂方的标准。货物完好，配件齐全。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2、</w:t>
      </w:r>
      <w:r>
        <w:rPr>
          <w:rFonts w:hint="eastAsia" w:ascii="宋体" w:hAnsi="宋体" w:cs="宋体"/>
          <w:kern w:val="0"/>
          <w:szCs w:val="21"/>
          <w:highlight w:val="none"/>
        </w:rPr>
        <w:t>如竞争性谈判文</w:t>
      </w:r>
      <w:r>
        <w:rPr>
          <w:rFonts w:hint="eastAsia" w:ascii="宋体" w:hAnsi="宋体" w:cs="宋体"/>
          <w:szCs w:val="21"/>
          <w:highlight w:val="none"/>
        </w:rPr>
        <w:t>件货物需求及技术要求中未列入</w:t>
      </w:r>
      <w:r>
        <w:rPr>
          <w:rFonts w:hint="eastAsia" w:ascii="宋体" w:hAnsi="宋体" w:cs="宋体"/>
          <w:kern w:val="0"/>
          <w:szCs w:val="21"/>
          <w:highlight w:val="none"/>
        </w:rPr>
        <w:t>，但可以推断是整个项目安装和运行时不可缺少或必需的配套设备、材料和工作，供应商响应报价时需综合考虑，计入响应总报价中，采购人不再额外增加</w:t>
      </w:r>
      <w:r>
        <w:rPr>
          <w:rFonts w:hint="eastAsia" w:ascii="宋体" w:hAnsi="宋体" w:cs="宋体"/>
          <w:szCs w:val="21"/>
          <w:highlight w:val="none"/>
        </w:rPr>
        <w:t>费用。</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成交供应商所提供的产品须满足采购人需求。若成交供应商成交后提供的货物不能满足要求的需无条件更换，且价格不予调整。若成交供应商不予更换的，采购人有权取消成交供应商的成交资格，且不予支付货款。</w:t>
      </w:r>
    </w:p>
    <w:p>
      <w:pPr>
        <w:pStyle w:val="5"/>
        <w:spacing w:line="360" w:lineRule="auto"/>
        <w:rPr>
          <w:rFonts w:hAnsi="宋体" w:cs="宋体"/>
          <w:kern w:val="2"/>
          <w:sz w:val="21"/>
          <w:szCs w:val="21"/>
          <w:highlight w:val="none"/>
        </w:rPr>
      </w:pPr>
      <w:r>
        <w:rPr>
          <w:rFonts w:hint="eastAsia" w:hAnsi="宋体" w:cs="宋体"/>
          <w:kern w:val="2"/>
          <w:sz w:val="21"/>
          <w:szCs w:val="21"/>
          <w:highlight w:val="none"/>
        </w:rPr>
        <w:t>4、供应商签订合同后，需提供一套软件演示，现场演示软件所有功能，如不满足响应文件响应的规格技术参数，视为虚假响应，采购人有权解除合同，供应商须承担由此产生的一切责任。</w:t>
      </w:r>
    </w:p>
    <w:p>
      <w:pPr>
        <w:pStyle w:val="5"/>
        <w:spacing w:line="360" w:lineRule="auto"/>
        <w:ind w:firstLine="422" w:firstLineChars="200"/>
        <w:rPr>
          <w:rFonts w:hAnsi="宋体" w:cs="宋体"/>
          <w:b/>
          <w:bCs/>
          <w:kern w:val="2"/>
          <w:sz w:val="21"/>
          <w:szCs w:val="21"/>
          <w:highlight w:val="none"/>
        </w:rPr>
      </w:pPr>
      <w:r>
        <w:rPr>
          <w:rFonts w:hint="eastAsia" w:hAnsi="宋体" w:cs="宋体"/>
          <w:b/>
          <w:bCs/>
          <w:kern w:val="2"/>
          <w:sz w:val="21"/>
          <w:szCs w:val="21"/>
          <w:highlight w:val="none"/>
        </w:rPr>
        <w:t>5、供应商需承诺对于本次采购的所有硬件设备、软件系统间互联互通，所产生的一切对接费用包含在本次项目报价中。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449CBC"/>
    <w:multiLevelType w:val="singleLevel"/>
    <w:tmpl w:val="88449CBC"/>
    <w:lvl w:ilvl="0" w:tentative="0">
      <w:start w:val="1"/>
      <w:numFmt w:val="decimal"/>
      <w:suff w:val="nothing"/>
      <w:lvlText w:val="%1、"/>
      <w:lvlJc w:val="left"/>
    </w:lvl>
  </w:abstractNum>
  <w:abstractNum w:abstractNumId="1">
    <w:nsid w:val="BD2225B7"/>
    <w:multiLevelType w:val="singleLevel"/>
    <w:tmpl w:val="BD2225B7"/>
    <w:lvl w:ilvl="0" w:tentative="0">
      <w:start w:val="1"/>
      <w:numFmt w:val="decimal"/>
      <w:suff w:val="nothing"/>
      <w:lvlText w:val="（%1）"/>
      <w:lvlJc w:val="left"/>
    </w:lvl>
  </w:abstractNum>
  <w:abstractNum w:abstractNumId="2">
    <w:nsid w:val="06B658B6"/>
    <w:multiLevelType w:val="singleLevel"/>
    <w:tmpl w:val="06B658B6"/>
    <w:lvl w:ilvl="0" w:tentative="0">
      <w:start w:val="4"/>
      <w:numFmt w:val="chineseCounting"/>
      <w:suff w:val="nothing"/>
      <w:lvlText w:val="%1、"/>
      <w:lvlJc w:val="left"/>
      <w:rPr>
        <w:rFonts w:hint="eastAsia"/>
      </w:rPr>
    </w:lvl>
  </w:abstractNum>
  <w:abstractNum w:abstractNumId="3">
    <w:nsid w:val="3B893E04"/>
    <w:multiLevelType w:val="singleLevel"/>
    <w:tmpl w:val="3B893E04"/>
    <w:lvl w:ilvl="0" w:tentative="0">
      <w:start w:val="12"/>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4F371B63"/>
    <w:rsid w:val="4E554C23"/>
    <w:rsid w:val="4F371B63"/>
    <w:rsid w:val="65834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100" w:after="100"/>
      <w:jc w:val="center"/>
      <w:outlineLvl w:val="0"/>
    </w:pPr>
    <w:rPr>
      <w:b/>
      <w:bCs/>
      <w:kern w:val="44"/>
      <w:sz w:val="32"/>
      <w:szCs w:val="44"/>
    </w:rPr>
  </w:style>
  <w:style w:type="character" w:default="1" w:styleId="10">
    <w:name w:val="Default Paragraph Font"/>
    <w:autoRedefine/>
    <w:semiHidden/>
    <w:qFormat/>
    <w:uiPriority w:val="0"/>
  </w:style>
  <w:style w:type="table" w:default="1" w:styleId="9">
    <w:name w:val="Normal Table"/>
    <w:autoRedefine/>
    <w:semiHidden/>
    <w:uiPriority w:val="0"/>
    <w:tblPr>
      <w:tblCellMar>
        <w:top w:w="0" w:type="dxa"/>
        <w:left w:w="108" w:type="dxa"/>
        <w:bottom w:w="0" w:type="dxa"/>
        <w:right w:w="108" w:type="dxa"/>
      </w:tblCellMar>
    </w:tblPr>
  </w:style>
  <w:style w:type="paragraph" w:styleId="2">
    <w:name w:val="Body Text"/>
    <w:basedOn w:val="1"/>
    <w:next w:val="3"/>
    <w:qFormat/>
    <w:uiPriority w:val="0"/>
    <w:pPr>
      <w:tabs>
        <w:tab w:val="left" w:pos="567"/>
      </w:tabs>
      <w:spacing w:before="120" w:line="22" w:lineRule="atLeast"/>
    </w:pPr>
    <w:rPr>
      <w:rFonts w:ascii="宋体" w:hAnsi="宋体"/>
      <w:sz w:val="24"/>
    </w:rPr>
  </w:style>
  <w:style w:type="paragraph" w:styleId="3">
    <w:name w:val="Plain Text"/>
    <w:basedOn w:val="1"/>
    <w:autoRedefine/>
    <w:qFormat/>
    <w:uiPriority w:val="0"/>
    <w:rPr>
      <w:rFonts w:ascii="宋体" w:hAnsi="Courier New"/>
      <w:szCs w:val="20"/>
    </w:rPr>
  </w:style>
  <w:style w:type="paragraph" w:styleId="5">
    <w:name w:val="Normal Indent"/>
    <w:basedOn w:val="1"/>
    <w:next w:val="6"/>
    <w:qFormat/>
    <w:uiPriority w:val="0"/>
    <w:pPr>
      <w:autoSpaceDE w:val="0"/>
      <w:autoSpaceDN w:val="0"/>
      <w:adjustRightInd w:val="0"/>
      <w:ind w:firstLine="420"/>
      <w:jc w:val="left"/>
    </w:pPr>
    <w:rPr>
      <w:rFonts w:ascii="宋体"/>
      <w:kern w:val="0"/>
      <w:sz w:val="24"/>
      <w:szCs w:val="20"/>
    </w:rPr>
  </w:style>
  <w:style w:type="paragraph" w:styleId="6">
    <w:name w:val="Body Text First Indent 2"/>
    <w:basedOn w:val="7"/>
    <w:autoRedefine/>
    <w:unhideWhenUsed/>
    <w:qFormat/>
    <w:uiPriority w:val="0"/>
    <w:pPr>
      <w:ind w:firstLine="420" w:firstLineChars="200"/>
    </w:pPr>
    <w:rPr>
      <w:rFonts w:cs="黑体"/>
      <w:szCs w:val="22"/>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0"/>
    <w:pPr>
      <w:snapToGrid w:val="0"/>
      <w:spacing w:beforeLines="50" w:afterLines="50" w:line="360" w:lineRule="auto"/>
      <w:ind w:firstLine="480" w:firstLineChars="200"/>
    </w:pPr>
    <w:rPr>
      <w:rFonts w:ascii="Arial" w:hAnsi="Arial" w:cs="Arial"/>
      <w:sz w:val="24"/>
    </w:rPr>
  </w:style>
  <w:style w:type="table" w:customStyle="1" w:styleId="11">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2024-01-03T08:10:00Z</dcterms:created>
  <dc:creator>兔子爱上了窝边草</dc:creator>
  <cp:lastModifiedBy>兔子爱上了窝边草</cp:lastModifiedBy>
  <dcterms:modified xsi:type="dcterms:W3CDTF">2024-01-03T09:02:37Z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2568B15C72DE4A2CBD190B4F96040EAA_11</vt:lpwstr>
  </property>
</Properties>
</file>